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17" w:rsidRPr="00C5407A" w:rsidRDefault="00C81652" w:rsidP="008E1B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  <w:t>The</w:t>
      </w:r>
      <w:r w:rsidRPr="00C5407A"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  <w:t>State</w:t>
      </w:r>
      <w:r w:rsidRPr="00C5407A"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  <w:t>Educational</w:t>
      </w:r>
      <w:r w:rsidRPr="00C5407A"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  <w:t>Establishment</w:t>
      </w:r>
      <w:r w:rsidRPr="00C5407A"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  <w:t xml:space="preserve"> </w:t>
      </w:r>
    </w:p>
    <w:p w:rsidR="006D2F5D" w:rsidRPr="00C81652" w:rsidRDefault="008E1B17" w:rsidP="00C816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</w:pPr>
      <w:r w:rsidRPr="00C81652"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  <w:t>«</w:t>
      </w:r>
      <w:r w:rsidR="00E1604B"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  <w:t>University of Civil P</w:t>
      </w:r>
      <w:r w:rsidR="00C81652"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  <w:t xml:space="preserve">rotection of the Ministry for Emergency Situations </w:t>
      </w:r>
      <w:bookmarkStart w:id="0" w:name="_GoBack"/>
      <w:r w:rsidR="00C81652"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  <w:t>of the Republic of Belarus</w:t>
      </w:r>
      <w:r w:rsidR="00C81652" w:rsidRPr="00C81652"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  <w:t>»</w:t>
      </w:r>
    </w:p>
    <w:bookmarkEnd w:id="0"/>
    <w:p w:rsidR="008E1B17" w:rsidRPr="00C81652" w:rsidRDefault="008E1B17" w:rsidP="008E1B17">
      <w:pPr>
        <w:spacing w:after="0" w:line="240" w:lineRule="auto"/>
        <w:jc w:val="center"/>
        <w:rPr>
          <w:b/>
          <w:lang w:val="en-US"/>
        </w:rPr>
      </w:pPr>
    </w:p>
    <w:p w:rsidR="000F3D32" w:rsidRPr="000F3D32" w:rsidRDefault="000F3D32" w:rsidP="000F3D32">
      <w:pPr>
        <w:pStyle w:val="Default"/>
        <w:ind w:firstLine="709"/>
        <w:jc w:val="both"/>
        <w:rPr>
          <w:color w:val="auto"/>
          <w:sz w:val="30"/>
          <w:szCs w:val="30"/>
          <w:lang w:val="en-US"/>
        </w:rPr>
      </w:pPr>
      <w:r>
        <w:rPr>
          <w:color w:val="auto"/>
          <w:sz w:val="30"/>
          <w:szCs w:val="30"/>
          <w:lang w:val="en-US"/>
        </w:rPr>
        <w:t>The U</w:t>
      </w:r>
      <w:r w:rsidRPr="000F3D32">
        <w:rPr>
          <w:color w:val="auto"/>
          <w:sz w:val="30"/>
          <w:szCs w:val="30"/>
          <w:lang w:val="en-US"/>
        </w:rPr>
        <w:t>niversity is</w:t>
      </w:r>
      <w:r>
        <w:rPr>
          <w:color w:val="auto"/>
          <w:sz w:val="30"/>
          <w:szCs w:val="30"/>
          <w:lang w:val="en-US"/>
        </w:rPr>
        <w:t xml:space="preserve"> the educational institution</w:t>
      </w:r>
      <w:r w:rsidR="00E1604B">
        <w:rPr>
          <w:color w:val="auto"/>
          <w:sz w:val="30"/>
          <w:szCs w:val="30"/>
          <w:lang w:val="en-US"/>
        </w:rPr>
        <w:t xml:space="preserve"> with</w:t>
      </w:r>
      <w:r w:rsidRPr="000F3D32">
        <w:rPr>
          <w:color w:val="auto"/>
          <w:sz w:val="30"/>
          <w:szCs w:val="30"/>
          <w:lang w:val="en-US"/>
        </w:rPr>
        <w:t xml:space="preserve"> 80 years of experience in highly qualified specialists training. </w:t>
      </w:r>
      <w:r w:rsidR="004508CD">
        <w:rPr>
          <w:color w:val="auto"/>
          <w:sz w:val="30"/>
          <w:szCs w:val="30"/>
          <w:lang w:val="en-US"/>
        </w:rPr>
        <w:t>E</w:t>
      </w:r>
      <w:r w:rsidR="004508CD" w:rsidRPr="000F3D32">
        <w:rPr>
          <w:color w:val="auto"/>
          <w:sz w:val="30"/>
          <w:szCs w:val="30"/>
          <w:lang w:val="en-US"/>
        </w:rPr>
        <w:t xml:space="preserve">ducational services </w:t>
      </w:r>
      <w:r w:rsidRPr="000F3D32">
        <w:rPr>
          <w:color w:val="auto"/>
          <w:sz w:val="30"/>
          <w:szCs w:val="30"/>
          <w:lang w:val="en-US"/>
        </w:rPr>
        <w:t xml:space="preserve">quality </w:t>
      </w:r>
      <w:r w:rsidR="004508CD">
        <w:rPr>
          <w:color w:val="auto"/>
          <w:sz w:val="30"/>
          <w:szCs w:val="30"/>
          <w:lang w:val="en-US"/>
        </w:rPr>
        <w:t>is proved by national</w:t>
      </w:r>
      <w:r w:rsidRPr="000F3D32">
        <w:rPr>
          <w:color w:val="auto"/>
          <w:sz w:val="30"/>
          <w:szCs w:val="30"/>
          <w:lang w:val="en-US"/>
        </w:rPr>
        <w:t xml:space="preserve"> and foreign certificates of conformity.</w:t>
      </w:r>
    </w:p>
    <w:p w:rsidR="000F3D32" w:rsidRDefault="009D7394" w:rsidP="000F3D32">
      <w:pPr>
        <w:pStyle w:val="Default"/>
        <w:ind w:firstLine="709"/>
        <w:jc w:val="both"/>
        <w:rPr>
          <w:color w:val="auto"/>
          <w:sz w:val="30"/>
          <w:szCs w:val="30"/>
          <w:lang w:val="en-US"/>
        </w:rPr>
      </w:pPr>
      <w:r>
        <w:rPr>
          <w:color w:val="auto"/>
          <w:sz w:val="30"/>
          <w:szCs w:val="30"/>
          <w:lang w:val="en-US"/>
        </w:rPr>
        <w:t xml:space="preserve">During the last </w:t>
      </w:r>
      <w:r w:rsidR="00675043">
        <w:rPr>
          <w:color w:val="auto"/>
          <w:sz w:val="30"/>
          <w:szCs w:val="30"/>
          <w:lang w:val="en-US"/>
        </w:rPr>
        <w:t xml:space="preserve">years </w:t>
      </w:r>
      <w:r w:rsidR="00762283" w:rsidRPr="000F3D32">
        <w:rPr>
          <w:color w:val="auto"/>
          <w:sz w:val="30"/>
          <w:szCs w:val="30"/>
          <w:lang w:val="en-US"/>
        </w:rPr>
        <w:t>scientists’</w:t>
      </w:r>
      <w:r w:rsidRPr="000F3D32">
        <w:rPr>
          <w:color w:val="auto"/>
          <w:sz w:val="30"/>
          <w:szCs w:val="30"/>
          <w:lang w:val="en-US"/>
        </w:rPr>
        <w:t xml:space="preserve"> </w:t>
      </w:r>
      <w:r w:rsidR="00675043">
        <w:rPr>
          <w:color w:val="auto"/>
          <w:sz w:val="30"/>
          <w:szCs w:val="30"/>
          <w:lang w:val="en-US"/>
        </w:rPr>
        <w:t xml:space="preserve">consortium of </w:t>
      </w:r>
      <w:r w:rsidR="000F3D32" w:rsidRPr="000F3D32">
        <w:rPr>
          <w:color w:val="auto"/>
          <w:sz w:val="30"/>
          <w:szCs w:val="30"/>
          <w:lang w:val="en-US"/>
        </w:rPr>
        <w:t xml:space="preserve">the University has </w:t>
      </w:r>
      <w:r w:rsidR="00E1604B" w:rsidRPr="000F3D32">
        <w:rPr>
          <w:color w:val="auto"/>
          <w:sz w:val="30"/>
          <w:szCs w:val="30"/>
          <w:lang w:val="en-US"/>
        </w:rPr>
        <w:t xml:space="preserve">considerably </w:t>
      </w:r>
      <w:r w:rsidR="000F3D32" w:rsidRPr="000F3D32">
        <w:rPr>
          <w:color w:val="auto"/>
          <w:sz w:val="30"/>
          <w:szCs w:val="30"/>
          <w:lang w:val="en-US"/>
        </w:rPr>
        <w:t xml:space="preserve">grown: about 40% of the </w:t>
      </w:r>
      <w:r w:rsidR="00675043">
        <w:rPr>
          <w:color w:val="auto"/>
          <w:sz w:val="30"/>
          <w:szCs w:val="30"/>
          <w:lang w:val="en-US"/>
        </w:rPr>
        <w:t xml:space="preserve">personnel </w:t>
      </w:r>
      <w:r w:rsidR="000F3D32" w:rsidRPr="000F3D32">
        <w:rPr>
          <w:color w:val="auto"/>
          <w:sz w:val="30"/>
          <w:szCs w:val="30"/>
          <w:lang w:val="en-US"/>
        </w:rPr>
        <w:t xml:space="preserve">engaged in </w:t>
      </w:r>
      <w:r w:rsidR="00675043">
        <w:rPr>
          <w:color w:val="auto"/>
          <w:sz w:val="30"/>
          <w:szCs w:val="30"/>
          <w:lang w:val="en-US"/>
        </w:rPr>
        <w:t xml:space="preserve">educational </w:t>
      </w:r>
      <w:r w:rsidR="000F3D32" w:rsidRPr="000F3D32">
        <w:rPr>
          <w:color w:val="auto"/>
          <w:sz w:val="30"/>
          <w:szCs w:val="30"/>
          <w:lang w:val="en-US"/>
        </w:rPr>
        <w:t>activity have academic degrees of doctors and</w:t>
      </w:r>
      <w:r w:rsidR="00675043">
        <w:rPr>
          <w:color w:val="auto"/>
          <w:sz w:val="30"/>
          <w:szCs w:val="30"/>
          <w:lang w:val="en-US"/>
        </w:rPr>
        <w:t xml:space="preserve"> PhDs</w:t>
      </w:r>
      <w:r w:rsidR="000F3D32" w:rsidRPr="000F3D32">
        <w:rPr>
          <w:color w:val="auto"/>
          <w:sz w:val="30"/>
          <w:szCs w:val="30"/>
          <w:lang w:val="en-US"/>
        </w:rPr>
        <w:t xml:space="preserve">, 36% - academic titles of professors and associate professors. </w:t>
      </w:r>
      <w:r w:rsidR="00675043">
        <w:rPr>
          <w:color w:val="auto"/>
          <w:sz w:val="30"/>
          <w:szCs w:val="30"/>
          <w:lang w:val="en-US"/>
        </w:rPr>
        <w:t>M</w:t>
      </w:r>
      <w:r w:rsidR="00675043" w:rsidRPr="000F3D32">
        <w:rPr>
          <w:color w:val="auto"/>
          <w:sz w:val="30"/>
          <w:szCs w:val="30"/>
          <w:lang w:val="en-US"/>
        </w:rPr>
        <w:t xml:space="preserve">ore than 200 copyright certificates and patents for inventions </w:t>
      </w:r>
      <w:r w:rsidR="00675043">
        <w:rPr>
          <w:color w:val="auto"/>
          <w:sz w:val="30"/>
          <w:szCs w:val="30"/>
          <w:lang w:val="en-US"/>
        </w:rPr>
        <w:t>reflect</w:t>
      </w:r>
      <w:r w:rsidR="00675043" w:rsidRPr="000F3D32">
        <w:rPr>
          <w:color w:val="auto"/>
          <w:sz w:val="30"/>
          <w:szCs w:val="30"/>
          <w:lang w:val="en-US"/>
        </w:rPr>
        <w:t xml:space="preserve"> </w:t>
      </w:r>
      <w:r w:rsidR="00675043">
        <w:rPr>
          <w:color w:val="auto"/>
          <w:sz w:val="30"/>
          <w:szCs w:val="30"/>
          <w:lang w:val="en-US"/>
        </w:rPr>
        <w:t>high scientific potential of the University.</w:t>
      </w:r>
    </w:p>
    <w:p w:rsidR="00B3210A" w:rsidRDefault="00B3210A" w:rsidP="000F3D32">
      <w:pPr>
        <w:pStyle w:val="Default"/>
        <w:ind w:firstLine="709"/>
        <w:jc w:val="both"/>
        <w:rPr>
          <w:color w:val="auto"/>
          <w:sz w:val="30"/>
          <w:szCs w:val="30"/>
          <w:lang w:val="en-US"/>
        </w:rPr>
      </w:pPr>
      <w:r w:rsidRPr="00B3210A">
        <w:rPr>
          <w:color w:val="auto"/>
          <w:sz w:val="30"/>
          <w:szCs w:val="30"/>
          <w:lang w:val="en-US"/>
        </w:rPr>
        <w:t xml:space="preserve">Intellectual property products of University scientists are actively used </w:t>
      </w:r>
      <w:r>
        <w:rPr>
          <w:color w:val="auto"/>
          <w:sz w:val="30"/>
          <w:szCs w:val="30"/>
          <w:lang w:val="en-US"/>
        </w:rPr>
        <w:t xml:space="preserve">not only </w:t>
      </w:r>
      <w:r w:rsidRPr="00B3210A">
        <w:rPr>
          <w:color w:val="auto"/>
          <w:sz w:val="30"/>
          <w:szCs w:val="30"/>
          <w:lang w:val="en-US"/>
        </w:rPr>
        <w:t>in Belarus, but also in demand in Azerbaijan, Kazakhstan, Russia and Ukraine</w:t>
      </w:r>
      <w:r>
        <w:rPr>
          <w:color w:val="auto"/>
          <w:sz w:val="30"/>
          <w:szCs w:val="30"/>
          <w:lang w:val="en-US"/>
        </w:rPr>
        <w:t>.</w:t>
      </w:r>
    </w:p>
    <w:p w:rsidR="00B12349" w:rsidRDefault="006729A6" w:rsidP="000F3D32">
      <w:pPr>
        <w:pStyle w:val="Default"/>
        <w:ind w:firstLine="709"/>
        <w:jc w:val="both"/>
        <w:rPr>
          <w:color w:val="auto"/>
          <w:sz w:val="30"/>
          <w:szCs w:val="30"/>
          <w:lang w:val="en-US"/>
        </w:rPr>
      </w:pPr>
      <w:r>
        <w:rPr>
          <w:color w:val="auto"/>
          <w:sz w:val="30"/>
          <w:szCs w:val="30"/>
          <w:lang w:val="en-US"/>
        </w:rPr>
        <w:t>T</w:t>
      </w:r>
      <w:r w:rsidR="00B12349" w:rsidRPr="00B12349">
        <w:rPr>
          <w:color w:val="auto"/>
          <w:sz w:val="30"/>
          <w:szCs w:val="30"/>
          <w:lang w:val="en-US"/>
        </w:rPr>
        <w:t xml:space="preserve">he University </w:t>
      </w:r>
      <w:r w:rsidR="00B12349">
        <w:rPr>
          <w:color w:val="auto"/>
          <w:sz w:val="30"/>
          <w:szCs w:val="30"/>
          <w:lang w:val="en-US"/>
        </w:rPr>
        <w:t xml:space="preserve">is </w:t>
      </w:r>
      <w:r w:rsidR="00B12349" w:rsidRPr="00B12349">
        <w:rPr>
          <w:color w:val="auto"/>
          <w:sz w:val="30"/>
          <w:szCs w:val="30"/>
          <w:lang w:val="en-US"/>
        </w:rPr>
        <w:t>accredited a</w:t>
      </w:r>
      <w:r w:rsidR="00B12349">
        <w:rPr>
          <w:color w:val="auto"/>
          <w:sz w:val="30"/>
          <w:szCs w:val="30"/>
          <w:lang w:val="en-US"/>
        </w:rPr>
        <w:t>s</w:t>
      </w:r>
      <w:r w:rsidR="00B12349" w:rsidRPr="00B12349">
        <w:rPr>
          <w:color w:val="auto"/>
          <w:sz w:val="30"/>
          <w:szCs w:val="30"/>
          <w:lang w:val="en-US"/>
        </w:rPr>
        <w:t xml:space="preserve"> </w:t>
      </w:r>
      <w:r w:rsidR="00B12349">
        <w:rPr>
          <w:color w:val="auto"/>
          <w:sz w:val="30"/>
          <w:szCs w:val="30"/>
          <w:lang w:val="en-US"/>
        </w:rPr>
        <w:t xml:space="preserve">the </w:t>
      </w:r>
      <w:r w:rsidR="00B12349" w:rsidRPr="00B12349">
        <w:rPr>
          <w:color w:val="auto"/>
          <w:sz w:val="30"/>
          <w:szCs w:val="30"/>
          <w:lang w:val="en-US"/>
        </w:rPr>
        <w:t>scientific organization</w:t>
      </w:r>
      <w:r w:rsidR="00B12349">
        <w:rPr>
          <w:color w:val="auto"/>
          <w:sz w:val="30"/>
          <w:szCs w:val="30"/>
          <w:lang w:val="en-US"/>
        </w:rPr>
        <w:t xml:space="preserve"> by t</w:t>
      </w:r>
      <w:r w:rsidR="00B12349" w:rsidRPr="00B12349">
        <w:rPr>
          <w:color w:val="auto"/>
          <w:sz w:val="30"/>
          <w:szCs w:val="30"/>
          <w:lang w:val="en-US"/>
        </w:rPr>
        <w:t>he State Committee for Science and Technology and the National Academy of Sciences</w:t>
      </w:r>
      <w:r>
        <w:rPr>
          <w:color w:val="auto"/>
          <w:sz w:val="30"/>
          <w:szCs w:val="30"/>
          <w:lang w:val="en-US"/>
        </w:rPr>
        <w:t>, which is</w:t>
      </w:r>
      <w:r w:rsidR="00B12349">
        <w:rPr>
          <w:color w:val="auto"/>
          <w:sz w:val="30"/>
          <w:szCs w:val="30"/>
          <w:lang w:val="en-US"/>
        </w:rPr>
        <w:t xml:space="preserve"> the </w:t>
      </w:r>
      <w:r w:rsidR="00B12349" w:rsidRPr="00B12349">
        <w:rPr>
          <w:color w:val="auto"/>
          <w:sz w:val="30"/>
          <w:szCs w:val="30"/>
          <w:lang w:val="en-US"/>
        </w:rPr>
        <w:t>testament to high level of research work carried out within its walls</w:t>
      </w:r>
      <w:r w:rsidR="00B12349">
        <w:rPr>
          <w:color w:val="auto"/>
          <w:sz w:val="30"/>
          <w:szCs w:val="30"/>
          <w:lang w:val="en-US"/>
        </w:rPr>
        <w:t>.</w:t>
      </w:r>
    </w:p>
    <w:p w:rsidR="00D42602" w:rsidRPr="00B3210A" w:rsidRDefault="00D42602" w:rsidP="000F3D32">
      <w:pPr>
        <w:pStyle w:val="Default"/>
        <w:ind w:firstLine="709"/>
        <w:jc w:val="both"/>
        <w:rPr>
          <w:color w:val="auto"/>
          <w:sz w:val="30"/>
          <w:szCs w:val="30"/>
          <w:lang w:val="en-US"/>
        </w:rPr>
      </w:pPr>
      <w:r>
        <w:rPr>
          <w:color w:val="auto"/>
          <w:sz w:val="30"/>
          <w:szCs w:val="30"/>
          <w:lang w:val="en-US"/>
        </w:rPr>
        <w:t>I</w:t>
      </w:r>
      <w:r w:rsidRPr="00D42602">
        <w:rPr>
          <w:color w:val="auto"/>
          <w:sz w:val="30"/>
          <w:szCs w:val="30"/>
          <w:lang w:val="en-US"/>
        </w:rPr>
        <w:t xml:space="preserve">nternational cooperation </w:t>
      </w:r>
      <w:r>
        <w:rPr>
          <w:color w:val="auto"/>
          <w:sz w:val="30"/>
          <w:szCs w:val="30"/>
          <w:lang w:val="en-US"/>
        </w:rPr>
        <w:t>is consistently developing</w:t>
      </w:r>
      <w:r w:rsidR="00063D00">
        <w:rPr>
          <w:color w:val="auto"/>
          <w:sz w:val="30"/>
          <w:szCs w:val="30"/>
          <w:lang w:val="en-US"/>
        </w:rPr>
        <w:t>. E</w:t>
      </w:r>
      <w:r w:rsidRPr="00D42602">
        <w:rPr>
          <w:color w:val="auto"/>
          <w:sz w:val="30"/>
          <w:szCs w:val="30"/>
          <w:lang w:val="en-US"/>
        </w:rPr>
        <w:t xml:space="preserve">xisting </w:t>
      </w:r>
      <w:r w:rsidR="00063D00">
        <w:rPr>
          <w:color w:val="auto"/>
          <w:sz w:val="30"/>
          <w:szCs w:val="30"/>
          <w:lang w:val="en-US"/>
        </w:rPr>
        <w:t>partnership is</w:t>
      </w:r>
      <w:r w:rsidRPr="00D42602">
        <w:rPr>
          <w:color w:val="auto"/>
          <w:sz w:val="30"/>
          <w:szCs w:val="30"/>
          <w:lang w:val="en-US"/>
        </w:rPr>
        <w:t xml:space="preserve"> being strengthened. </w:t>
      </w:r>
      <w:r w:rsidR="00307468">
        <w:rPr>
          <w:color w:val="auto"/>
          <w:sz w:val="30"/>
          <w:szCs w:val="30"/>
          <w:lang w:val="en-US"/>
        </w:rPr>
        <w:t>B</w:t>
      </w:r>
      <w:r w:rsidR="00307468" w:rsidRPr="00D42602">
        <w:rPr>
          <w:color w:val="auto"/>
          <w:sz w:val="30"/>
          <w:szCs w:val="30"/>
          <w:lang w:val="en-US"/>
        </w:rPr>
        <w:t xml:space="preserve">usiness contacts </w:t>
      </w:r>
      <w:r w:rsidR="00307468">
        <w:rPr>
          <w:color w:val="auto"/>
          <w:sz w:val="30"/>
          <w:szCs w:val="30"/>
          <w:lang w:val="en-US"/>
        </w:rPr>
        <w:t xml:space="preserve">are </w:t>
      </w:r>
      <w:r w:rsidRPr="00D42602">
        <w:rPr>
          <w:color w:val="auto"/>
          <w:sz w:val="30"/>
          <w:szCs w:val="30"/>
          <w:lang w:val="en-US"/>
        </w:rPr>
        <w:t>maintain</w:t>
      </w:r>
      <w:r w:rsidR="00307468">
        <w:rPr>
          <w:color w:val="auto"/>
          <w:sz w:val="30"/>
          <w:szCs w:val="30"/>
          <w:lang w:val="en-US"/>
        </w:rPr>
        <w:t>ing</w:t>
      </w:r>
      <w:r w:rsidRPr="00D42602">
        <w:rPr>
          <w:color w:val="auto"/>
          <w:sz w:val="30"/>
          <w:szCs w:val="30"/>
          <w:lang w:val="en-US"/>
        </w:rPr>
        <w:t xml:space="preserve"> with educatio</w:t>
      </w:r>
      <w:r w:rsidR="00307468">
        <w:rPr>
          <w:color w:val="auto"/>
          <w:sz w:val="30"/>
          <w:szCs w:val="30"/>
          <w:lang w:val="en-US"/>
        </w:rPr>
        <w:t>nal institutions of</w:t>
      </w:r>
      <w:r w:rsidRPr="00D42602">
        <w:rPr>
          <w:color w:val="auto"/>
          <w:sz w:val="30"/>
          <w:szCs w:val="30"/>
          <w:lang w:val="en-US"/>
        </w:rPr>
        <w:t xml:space="preserve"> </w:t>
      </w:r>
      <w:r w:rsidR="00307468" w:rsidRPr="00D42602">
        <w:rPr>
          <w:color w:val="auto"/>
          <w:sz w:val="30"/>
          <w:szCs w:val="30"/>
          <w:lang w:val="en-US"/>
        </w:rPr>
        <w:t xml:space="preserve">near and far abroad </w:t>
      </w:r>
      <w:r w:rsidR="00307468">
        <w:rPr>
          <w:color w:val="auto"/>
          <w:sz w:val="30"/>
          <w:szCs w:val="30"/>
          <w:lang w:val="en-US"/>
        </w:rPr>
        <w:t>countries</w:t>
      </w:r>
      <w:r w:rsidRPr="00D42602">
        <w:rPr>
          <w:color w:val="auto"/>
          <w:sz w:val="30"/>
          <w:szCs w:val="30"/>
          <w:lang w:val="en-US"/>
        </w:rPr>
        <w:t xml:space="preserve">. The University is a full member of the European </w:t>
      </w:r>
      <w:r w:rsidR="00307468">
        <w:rPr>
          <w:color w:val="auto"/>
          <w:sz w:val="30"/>
          <w:szCs w:val="30"/>
          <w:lang w:val="en-US"/>
        </w:rPr>
        <w:t xml:space="preserve">Fire Services Colleges </w:t>
      </w:r>
      <w:r w:rsidRPr="00D42602">
        <w:rPr>
          <w:color w:val="auto"/>
          <w:sz w:val="30"/>
          <w:szCs w:val="30"/>
          <w:lang w:val="en-US"/>
        </w:rPr>
        <w:t xml:space="preserve">Association, which unites educational institutions of fire and rescue profiles (EFSCA). For achievements in the field of fire education, </w:t>
      </w:r>
      <w:r w:rsidR="00307468">
        <w:rPr>
          <w:color w:val="auto"/>
          <w:sz w:val="30"/>
          <w:szCs w:val="30"/>
          <w:lang w:val="en-US"/>
        </w:rPr>
        <w:t xml:space="preserve">in the year of 2015 </w:t>
      </w:r>
      <w:r w:rsidRPr="00D42602">
        <w:rPr>
          <w:color w:val="auto"/>
          <w:sz w:val="30"/>
          <w:szCs w:val="30"/>
          <w:lang w:val="en-US"/>
        </w:rPr>
        <w:t xml:space="preserve">the </w:t>
      </w:r>
      <w:r w:rsidR="00307468">
        <w:rPr>
          <w:color w:val="auto"/>
          <w:sz w:val="30"/>
          <w:szCs w:val="30"/>
          <w:lang w:val="en-US"/>
        </w:rPr>
        <w:t xml:space="preserve">University </w:t>
      </w:r>
      <w:r w:rsidR="00307468" w:rsidRPr="00D42602">
        <w:rPr>
          <w:color w:val="auto"/>
          <w:sz w:val="30"/>
          <w:szCs w:val="30"/>
          <w:lang w:val="en-US"/>
        </w:rPr>
        <w:t>was awarded EFSCA Gold Medal</w:t>
      </w:r>
      <w:r w:rsidRPr="00D42602">
        <w:rPr>
          <w:color w:val="auto"/>
          <w:sz w:val="30"/>
          <w:szCs w:val="30"/>
          <w:lang w:val="en-US"/>
        </w:rPr>
        <w:t>.</w:t>
      </w:r>
    </w:p>
    <w:p w:rsidR="00265B15" w:rsidRPr="00144A3A" w:rsidRDefault="00144A3A" w:rsidP="00F4239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The</w:t>
      </w:r>
      <w:r w:rsidRPr="00144A3A">
        <w:rPr>
          <w:rFonts w:ascii="Times New Roman" w:hAnsi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University</w:t>
      </w:r>
      <w:r w:rsidRPr="00144A3A">
        <w:rPr>
          <w:rFonts w:ascii="Times New Roman" w:hAnsi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has</w:t>
      </w:r>
      <w:r w:rsidRPr="00144A3A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08504F">
        <w:rPr>
          <w:rFonts w:ascii="Times New Roman" w:hAnsi="Times New Roman"/>
          <w:sz w:val="30"/>
          <w:szCs w:val="30"/>
          <w:lang w:val="en-US"/>
        </w:rPr>
        <w:t>the</w:t>
      </w:r>
      <w:r w:rsidRPr="00144A3A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08504F">
        <w:rPr>
          <w:rFonts w:ascii="Times New Roman" w:hAnsi="Times New Roman"/>
          <w:sz w:val="30"/>
          <w:szCs w:val="30"/>
          <w:lang w:val="en-US"/>
        </w:rPr>
        <w:t>status</w:t>
      </w:r>
      <w:r w:rsidRPr="00144A3A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08504F">
        <w:rPr>
          <w:rFonts w:ascii="Times New Roman" w:hAnsi="Times New Roman"/>
          <w:sz w:val="30"/>
          <w:szCs w:val="30"/>
          <w:lang w:val="en-US"/>
        </w:rPr>
        <w:t>of</w:t>
      </w:r>
      <w:r w:rsidRPr="00144A3A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08504F">
        <w:rPr>
          <w:rFonts w:ascii="Times New Roman" w:hAnsi="Times New Roman"/>
          <w:sz w:val="30"/>
          <w:szCs w:val="30"/>
          <w:lang w:val="en-US"/>
        </w:rPr>
        <w:t>basic</w:t>
      </w:r>
      <w:r w:rsidRPr="00144A3A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08504F">
        <w:rPr>
          <w:rFonts w:ascii="Times New Roman" w:hAnsi="Times New Roman"/>
          <w:sz w:val="30"/>
          <w:szCs w:val="30"/>
          <w:lang w:val="en-US"/>
        </w:rPr>
        <w:t>training</w:t>
      </w:r>
      <w:r w:rsidRPr="00144A3A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08504F">
        <w:rPr>
          <w:rFonts w:ascii="Times New Roman" w:hAnsi="Times New Roman"/>
          <w:sz w:val="30"/>
          <w:szCs w:val="30"/>
          <w:lang w:val="en-US"/>
        </w:rPr>
        <w:t>organization</w:t>
      </w:r>
      <w:r w:rsidRPr="00144A3A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08504F">
        <w:rPr>
          <w:rFonts w:ascii="Times New Roman" w:hAnsi="Times New Roman"/>
          <w:sz w:val="30"/>
          <w:szCs w:val="30"/>
          <w:lang w:val="en-US"/>
        </w:rPr>
        <w:t>of</w:t>
      </w:r>
      <w:r w:rsidRPr="00144A3A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08504F">
        <w:rPr>
          <w:rFonts w:ascii="Times New Roman" w:hAnsi="Times New Roman"/>
          <w:sz w:val="30"/>
          <w:szCs w:val="30"/>
          <w:lang w:val="en-US"/>
        </w:rPr>
        <w:t>CIS</w:t>
      </w:r>
      <w:r w:rsidRPr="00144A3A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08504F">
        <w:rPr>
          <w:rFonts w:ascii="Times New Roman" w:hAnsi="Times New Roman"/>
          <w:sz w:val="30"/>
          <w:szCs w:val="30"/>
          <w:lang w:val="en-US"/>
        </w:rPr>
        <w:t>countries</w:t>
      </w:r>
      <w:r w:rsidRPr="00144A3A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08504F">
        <w:rPr>
          <w:rFonts w:ascii="Times New Roman" w:hAnsi="Times New Roman"/>
          <w:sz w:val="30"/>
          <w:szCs w:val="30"/>
          <w:lang w:val="en-US"/>
        </w:rPr>
        <w:t>in</w:t>
      </w:r>
      <w:r w:rsidRPr="00144A3A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08504F">
        <w:rPr>
          <w:rFonts w:ascii="Times New Roman" w:hAnsi="Times New Roman"/>
          <w:sz w:val="30"/>
          <w:szCs w:val="30"/>
          <w:lang w:val="en-US"/>
        </w:rPr>
        <w:t>the</w:t>
      </w:r>
      <w:r w:rsidRPr="00144A3A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08504F">
        <w:rPr>
          <w:rFonts w:ascii="Times New Roman" w:hAnsi="Times New Roman"/>
          <w:sz w:val="30"/>
          <w:szCs w:val="30"/>
          <w:lang w:val="en-US"/>
        </w:rPr>
        <w:t>field</w:t>
      </w:r>
      <w:r w:rsidRPr="00144A3A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08504F">
        <w:rPr>
          <w:rFonts w:ascii="Times New Roman" w:hAnsi="Times New Roman"/>
          <w:sz w:val="30"/>
          <w:szCs w:val="30"/>
          <w:lang w:val="en-US"/>
        </w:rPr>
        <w:t>of</w:t>
      </w:r>
      <w:r w:rsidRPr="00144A3A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08504F">
        <w:rPr>
          <w:rFonts w:ascii="Times New Roman" w:hAnsi="Times New Roman"/>
          <w:sz w:val="30"/>
          <w:szCs w:val="30"/>
          <w:lang w:val="en-US"/>
        </w:rPr>
        <w:t>emergency</w:t>
      </w:r>
      <w:r w:rsidRPr="00144A3A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08504F">
        <w:rPr>
          <w:rFonts w:ascii="Times New Roman" w:hAnsi="Times New Roman"/>
          <w:sz w:val="30"/>
          <w:szCs w:val="30"/>
          <w:lang w:val="en-US"/>
        </w:rPr>
        <w:t>response</w:t>
      </w:r>
      <w:r>
        <w:rPr>
          <w:rFonts w:ascii="Times New Roman" w:hAnsi="Times New Roman"/>
          <w:sz w:val="30"/>
          <w:szCs w:val="30"/>
          <w:lang w:val="en-US"/>
        </w:rPr>
        <w:t xml:space="preserve"> and </w:t>
      </w:r>
      <w:r w:rsidRPr="002B4A04">
        <w:rPr>
          <w:rFonts w:ascii="Times New Roman" w:eastAsia="Times New Roman" w:hAnsi="Times New Roman"/>
          <w:sz w:val="30"/>
          <w:szCs w:val="30"/>
          <w:lang w:val="en-US" w:eastAsia="ru-RU"/>
        </w:rPr>
        <w:t xml:space="preserve">the status of the institution of training for law enforcement, fire, rescue </w:t>
      </w:r>
      <w:r w:rsidR="00C5407A">
        <w:rPr>
          <w:rFonts w:ascii="Times New Roman" w:eastAsia="Times New Roman" w:hAnsi="Times New Roman"/>
          <w:sz w:val="30"/>
          <w:szCs w:val="30"/>
          <w:lang w:val="en-US" w:eastAsia="ru-RU"/>
        </w:rPr>
        <w:t xml:space="preserve">agencies </w:t>
      </w:r>
      <w:r w:rsidR="00C5407A" w:rsidRPr="002B4A04">
        <w:rPr>
          <w:rFonts w:ascii="Times New Roman" w:eastAsia="Times New Roman" w:hAnsi="Times New Roman"/>
          <w:sz w:val="30"/>
          <w:szCs w:val="30"/>
          <w:lang w:val="en-US" w:eastAsia="ru-RU"/>
        </w:rPr>
        <w:t>and</w:t>
      </w:r>
      <w:r w:rsidRPr="002B4A04">
        <w:rPr>
          <w:rFonts w:ascii="Times New Roman" w:eastAsia="Times New Roman" w:hAnsi="Times New Roman"/>
          <w:sz w:val="30"/>
          <w:szCs w:val="30"/>
          <w:lang w:val="en-US" w:eastAsia="ru-RU"/>
        </w:rPr>
        <w:t xml:space="preserve"> special services of the states - members of the Collective Security Treaty Organization</w:t>
      </w:r>
      <w:r w:rsidR="00265B15" w:rsidRPr="00144A3A">
        <w:rPr>
          <w:rFonts w:ascii="Times New Roman" w:eastAsia="Times New Roman" w:hAnsi="Times New Roman"/>
          <w:sz w:val="30"/>
          <w:szCs w:val="30"/>
          <w:lang w:val="en-US" w:eastAsia="ru-RU"/>
        </w:rPr>
        <w:t>.</w:t>
      </w:r>
    </w:p>
    <w:p w:rsidR="00FA2B40" w:rsidRDefault="00FA2B40" w:rsidP="00F4239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</w:pPr>
      <w:r w:rsidRPr="00FA2B40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 xml:space="preserve">Training at the University is in demand among foreign specialists. Since 2003, more than 4,000 foreign specialists from 48 </w:t>
      </w:r>
      <w:r w:rsidR="00822A94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 xml:space="preserve">states </w:t>
      </w:r>
      <w:r w:rsidRPr="00FA2B40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 xml:space="preserve">have been trained at the University. The average number of </w:t>
      </w:r>
      <w:r w:rsidR="00822A94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 xml:space="preserve">international </w:t>
      </w:r>
      <w:r w:rsidRPr="00FA2B40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students is 13% of the total number of students in the University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.</w:t>
      </w:r>
    </w:p>
    <w:p w:rsidR="00EF695D" w:rsidRDefault="00FA2B40" w:rsidP="00F4239D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  <w:lang w:val="en-US"/>
        </w:rPr>
      </w:pPr>
      <w:r w:rsidRPr="00FA2B40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The</w:t>
      </w:r>
      <w:r w:rsidRPr="00BB0083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 xml:space="preserve"> </w:t>
      </w:r>
      <w:r w:rsidRPr="00FA2B40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University</w:t>
      </w:r>
      <w:r w:rsidRPr="00BB0083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 xml:space="preserve"> </w:t>
      </w:r>
      <w:r w:rsidRPr="00FA2B40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is</w:t>
      </w:r>
      <w:r w:rsidRPr="00BB0083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 xml:space="preserve"> </w:t>
      </w:r>
      <w:r w:rsidRPr="00FA2B40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actively</w:t>
      </w:r>
      <w:r w:rsidRPr="00BB0083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 xml:space="preserve"> </w:t>
      </w:r>
      <w:r w:rsidRPr="00FA2B40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cooperating</w:t>
      </w:r>
      <w:r w:rsidRPr="00BB0083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 xml:space="preserve"> </w:t>
      </w:r>
      <w:r w:rsidRPr="00FA2B40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with</w:t>
      </w:r>
      <w:r w:rsidRPr="00BB0083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 xml:space="preserve"> </w:t>
      </w:r>
      <w:r w:rsidRPr="00FA2B40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international</w:t>
      </w:r>
      <w:r w:rsidRPr="00BB0083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 xml:space="preserve"> </w:t>
      </w:r>
      <w:r w:rsidRPr="00FA2B40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organizations</w:t>
      </w:r>
      <w:r w:rsidRPr="00BB0083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 xml:space="preserve">, </w:t>
      </w:r>
      <w:r w:rsidRPr="00FA2B40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such</w:t>
      </w:r>
      <w:r w:rsidRPr="00BB0083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 xml:space="preserve"> </w:t>
      </w:r>
      <w:r w:rsidRPr="00FA2B40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as</w:t>
      </w:r>
      <w:r w:rsidRPr="00BB0083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 xml:space="preserve"> the </w:t>
      </w:r>
      <w:proofErr w:type="spellStart"/>
      <w:r w:rsidRPr="00BB0083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Organisation</w:t>
      </w:r>
      <w:proofErr w:type="spellEnd"/>
      <w:r w:rsidRPr="00BB0083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 xml:space="preserve"> for </w:t>
      </w:r>
      <w:r w:rsidR="00BB0083" w:rsidRPr="00BB0083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 xml:space="preserve">Prohibition of </w:t>
      </w:r>
      <w:r w:rsidRPr="00BB0083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Chemical</w:t>
      </w:r>
      <w:r w:rsidR="00BB0083" w:rsidRPr="00BB0083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 xml:space="preserve"> Weapons (OPCW)</w:t>
      </w:r>
      <w:r w:rsidR="00BB0083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 xml:space="preserve">, International Civil </w:t>
      </w:r>
      <w:proofErr w:type="spellStart"/>
      <w:r w:rsidR="00BB0083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Defence</w:t>
      </w:r>
      <w:proofErr w:type="spellEnd"/>
      <w:r w:rsidR="00BB0083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="00BB0083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Organisation</w:t>
      </w:r>
      <w:proofErr w:type="spellEnd"/>
      <w:r w:rsidR="00BB0083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 xml:space="preserve"> (ICDO), </w:t>
      </w:r>
      <w:r w:rsidR="00F14E02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Interstate</w:t>
      </w:r>
      <w:r w:rsidR="00BB0083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 xml:space="preserve"> Aviation Committee (IAC), European Commission (EC), International Atomic Energy Agency (IAEA)</w:t>
      </w:r>
      <w:r w:rsidRPr="00BB0083">
        <w:rPr>
          <w:rFonts w:ascii="Times New Roman" w:hAnsi="Times New Roman" w:cs="Times New Roman"/>
          <w:color w:val="FF0000"/>
          <w:sz w:val="30"/>
          <w:szCs w:val="30"/>
          <w:lang w:val="en-US"/>
        </w:rPr>
        <w:t xml:space="preserve"> </w:t>
      </w:r>
      <w:r w:rsidR="00BB0083" w:rsidRPr="00BB0083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and others.</w:t>
      </w:r>
      <w:r w:rsidR="00BB0083">
        <w:rPr>
          <w:rFonts w:ascii="Times New Roman" w:hAnsi="Times New Roman" w:cs="Times New Roman"/>
          <w:color w:val="FF0000"/>
          <w:sz w:val="30"/>
          <w:szCs w:val="30"/>
          <w:lang w:val="en-US"/>
        </w:rPr>
        <w:t xml:space="preserve"> </w:t>
      </w:r>
      <w:r w:rsidR="003936D0" w:rsidRPr="003936D0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Every year the University organizes and conducts joint training with international organizations</w:t>
      </w:r>
      <w:r w:rsidR="00EF695D" w:rsidRPr="00A67FA1">
        <w:rPr>
          <w:rFonts w:ascii="Times New Roman" w:hAnsi="Times New Roman" w:cs="Times New Roman"/>
          <w:bCs/>
          <w:color w:val="000000"/>
          <w:sz w:val="30"/>
          <w:szCs w:val="30"/>
          <w:lang w:val="en-US"/>
        </w:rPr>
        <w:t>.</w:t>
      </w:r>
    </w:p>
    <w:p w:rsidR="00A67FA1" w:rsidRPr="00A67FA1" w:rsidRDefault="00A67FA1" w:rsidP="00F4239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A67FA1">
        <w:rPr>
          <w:rFonts w:ascii="Times New Roman" w:hAnsi="Times New Roman" w:cs="Times New Roman"/>
          <w:sz w:val="30"/>
          <w:szCs w:val="30"/>
          <w:lang w:val="en-US"/>
        </w:rPr>
        <w:t>In 2 branches, at 7 faculties, 20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chairs</w:t>
      </w:r>
      <w:r w:rsidRPr="00A67FA1">
        <w:rPr>
          <w:rFonts w:ascii="Times New Roman" w:hAnsi="Times New Roman" w:cs="Times New Roman"/>
          <w:sz w:val="30"/>
          <w:szCs w:val="30"/>
          <w:lang w:val="en-US"/>
        </w:rPr>
        <w:t>, in the postgraduate and doctoral studies of the Univ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ersity, training is organized according </w:t>
      </w:r>
      <w:r w:rsidRPr="00A67FA1">
        <w:rPr>
          <w:rFonts w:ascii="Times New Roman" w:hAnsi="Times New Roman" w:cs="Times New Roman"/>
          <w:sz w:val="30"/>
          <w:szCs w:val="30"/>
          <w:lang w:val="en-US"/>
        </w:rPr>
        <w:t>first and second higher education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level </w:t>
      </w:r>
      <w:r w:rsidRPr="00A67FA1">
        <w:rPr>
          <w:rFonts w:ascii="Times New Roman" w:hAnsi="Times New Roman" w:cs="Times New Roman"/>
          <w:sz w:val="30"/>
          <w:szCs w:val="30"/>
          <w:lang w:val="en-US"/>
        </w:rPr>
        <w:t xml:space="preserve">programs </w:t>
      </w:r>
      <w:r w:rsidR="00AE0022">
        <w:rPr>
          <w:rFonts w:ascii="Times New Roman" w:hAnsi="Times New Roman" w:cs="Times New Roman"/>
          <w:sz w:val="30"/>
          <w:szCs w:val="30"/>
          <w:lang w:val="en-US"/>
        </w:rPr>
        <w:t>in</w:t>
      </w:r>
      <w:r w:rsidRPr="00A67FA1">
        <w:rPr>
          <w:rFonts w:ascii="Times New Roman" w:hAnsi="Times New Roman" w:cs="Times New Roman"/>
          <w:sz w:val="30"/>
          <w:szCs w:val="30"/>
          <w:lang w:val="en-US"/>
        </w:rPr>
        <w:t xml:space="preserve"> 4 </w:t>
      </w:r>
      <w:r>
        <w:rPr>
          <w:rFonts w:ascii="Times New Roman" w:hAnsi="Times New Roman" w:cs="Times New Roman"/>
          <w:sz w:val="30"/>
          <w:szCs w:val="30"/>
          <w:lang w:val="en-US"/>
        </w:rPr>
        <w:t>specialties,</w:t>
      </w:r>
      <w:r w:rsidRPr="00A67FA1">
        <w:rPr>
          <w:rFonts w:ascii="Times New Roman" w:hAnsi="Times New Roman" w:cs="Times New Roman"/>
          <w:sz w:val="30"/>
          <w:szCs w:val="30"/>
          <w:lang w:val="en-US"/>
        </w:rPr>
        <w:t xml:space="preserve"> postgraduate education</w:t>
      </w:r>
      <w:r w:rsidR="004D60A7">
        <w:rPr>
          <w:rFonts w:ascii="Times New Roman" w:hAnsi="Times New Roman" w:cs="Times New Roman"/>
          <w:sz w:val="30"/>
          <w:szCs w:val="30"/>
          <w:lang w:val="en-US"/>
        </w:rPr>
        <w:t xml:space="preserve"> -</w:t>
      </w:r>
      <w:r w:rsidR="00AE0022">
        <w:rPr>
          <w:rFonts w:ascii="Times New Roman" w:hAnsi="Times New Roman" w:cs="Times New Roman"/>
          <w:sz w:val="30"/>
          <w:szCs w:val="30"/>
          <w:lang w:val="en-US"/>
        </w:rPr>
        <w:t xml:space="preserve"> in</w:t>
      </w:r>
      <w:r w:rsidRPr="00A67FA1">
        <w:rPr>
          <w:rFonts w:ascii="Times New Roman" w:hAnsi="Times New Roman" w:cs="Times New Roman"/>
          <w:sz w:val="30"/>
          <w:szCs w:val="30"/>
          <w:lang w:val="en-US"/>
        </w:rPr>
        <w:t xml:space="preserve"> 3 specialties. Retraining of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management </w:t>
      </w:r>
      <w:r w:rsidRPr="00A67FA1">
        <w:rPr>
          <w:rFonts w:ascii="Times New Roman" w:hAnsi="Times New Roman" w:cs="Times New Roman"/>
          <w:sz w:val="30"/>
          <w:szCs w:val="30"/>
          <w:lang w:val="en-US"/>
        </w:rPr>
        <w:t>and is carried out</w:t>
      </w:r>
      <w:r w:rsidR="00AE0022" w:rsidRPr="00AE0022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AE0022" w:rsidRPr="00A67FA1">
        <w:rPr>
          <w:rFonts w:ascii="Times New Roman" w:hAnsi="Times New Roman" w:cs="Times New Roman"/>
          <w:sz w:val="30"/>
          <w:szCs w:val="30"/>
          <w:lang w:val="en-US"/>
        </w:rPr>
        <w:t>in 5 specialties</w:t>
      </w:r>
      <w:r w:rsidRPr="00A67FA1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5D5F06" w:rsidRDefault="00E0387B" w:rsidP="00CC065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lastRenderedPageBreak/>
        <w:t>There is a wide range of professional development training courses on emergency prevention and response, fire and industrial safety</w:t>
      </w:r>
      <w:r w:rsidR="00EF695D" w:rsidRPr="00E0387B">
        <w:rPr>
          <w:rFonts w:ascii="Times New Roman" w:hAnsi="Times New Roman" w:cs="Times New Roman"/>
          <w:sz w:val="30"/>
          <w:szCs w:val="30"/>
          <w:lang w:val="en-US"/>
        </w:rPr>
        <w:t>.</w:t>
      </w:r>
      <w:r w:rsidR="00605470" w:rsidRPr="00E0387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822A94">
        <w:rPr>
          <w:rFonts w:ascii="Times New Roman" w:hAnsi="Times New Roman" w:cs="Times New Roman"/>
          <w:sz w:val="30"/>
          <w:szCs w:val="30"/>
          <w:lang w:val="en-US"/>
        </w:rPr>
        <w:t>The list of c</w:t>
      </w:r>
      <w:r w:rsidR="00066422">
        <w:rPr>
          <w:rFonts w:ascii="Times New Roman" w:hAnsi="Times New Roman" w:cs="Times New Roman"/>
          <w:sz w:val="30"/>
          <w:szCs w:val="30"/>
          <w:lang w:val="en-US"/>
        </w:rPr>
        <w:t xml:space="preserve">ourses can be found </w:t>
      </w:r>
      <w:r w:rsidR="00C5407A">
        <w:rPr>
          <w:rFonts w:ascii="Times New Roman" w:hAnsi="Times New Roman" w:cs="Times New Roman"/>
          <w:sz w:val="30"/>
          <w:szCs w:val="30"/>
          <w:lang w:val="en-US"/>
        </w:rPr>
        <w:t xml:space="preserve">here - </w:t>
      </w:r>
      <w:hyperlink r:id="rId5" w:history="1">
        <w:r w:rsidR="00605470" w:rsidRPr="00066422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http://www.rescuetraining.by/index.php/2014-08-16-07-54-10</w:t>
        </w:r>
      </w:hyperlink>
      <w:r w:rsidR="00605470" w:rsidRPr="00066422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F14E02" w:rsidRPr="00066422" w:rsidRDefault="00F14E02" w:rsidP="00CC065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F14E02">
        <w:rPr>
          <w:rFonts w:ascii="Times New Roman" w:hAnsi="Times New Roman" w:cs="Times New Roman"/>
          <w:sz w:val="30"/>
          <w:szCs w:val="30"/>
          <w:lang w:val="en-US"/>
        </w:rPr>
        <w:t>To conduct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practical training the University has T</w:t>
      </w:r>
      <w:r w:rsidRPr="00F14E02">
        <w:rPr>
          <w:rFonts w:ascii="Times New Roman" w:hAnsi="Times New Roman" w:cs="Times New Roman"/>
          <w:sz w:val="30"/>
          <w:szCs w:val="30"/>
          <w:lang w:val="en-US"/>
        </w:rPr>
        <w:t xml:space="preserve">raining </w:t>
      </w:r>
      <w:r>
        <w:rPr>
          <w:rFonts w:ascii="Times New Roman" w:hAnsi="Times New Roman" w:cs="Times New Roman"/>
          <w:sz w:val="30"/>
          <w:szCs w:val="30"/>
          <w:lang w:val="en-US"/>
        </w:rPr>
        <w:t>Area of 42 hectares with 34 training sites</w:t>
      </w:r>
      <w:r w:rsidRPr="00F14E02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where </w:t>
      </w:r>
      <w:r w:rsidR="00822A94">
        <w:rPr>
          <w:rFonts w:ascii="Times New Roman" w:hAnsi="Times New Roman" w:cs="Times New Roman"/>
          <w:sz w:val="30"/>
          <w:szCs w:val="30"/>
          <w:lang w:val="en-US"/>
        </w:rPr>
        <w:t xml:space="preserve">broad variety </w:t>
      </w:r>
      <w:r w:rsidRPr="00F14E02">
        <w:rPr>
          <w:rFonts w:ascii="Times New Roman" w:hAnsi="Times New Roman" w:cs="Times New Roman"/>
          <w:sz w:val="30"/>
          <w:szCs w:val="30"/>
          <w:lang w:val="en-US"/>
        </w:rPr>
        <w:t xml:space="preserve">of natural and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man-made </w:t>
      </w:r>
      <w:r w:rsidR="00822A94">
        <w:rPr>
          <w:rFonts w:ascii="Times New Roman" w:hAnsi="Times New Roman" w:cs="Times New Roman"/>
          <w:sz w:val="30"/>
          <w:szCs w:val="30"/>
          <w:lang w:val="en-US"/>
        </w:rPr>
        <w:t xml:space="preserve">incidents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are modeling </w:t>
      </w:r>
      <w:r w:rsidRPr="00F14E02">
        <w:rPr>
          <w:rFonts w:ascii="Times New Roman" w:hAnsi="Times New Roman" w:cs="Times New Roman"/>
          <w:sz w:val="30"/>
          <w:szCs w:val="30"/>
          <w:lang w:val="en-US"/>
        </w:rPr>
        <w:t>in conditions close to real</w:t>
      </w:r>
      <w:r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C5407A" w:rsidRDefault="00C5407A" w:rsidP="000F3D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lang w:val="en-US"/>
        </w:rPr>
      </w:pPr>
    </w:p>
    <w:p w:rsidR="000F3D32" w:rsidRPr="00C5407A" w:rsidRDefault="000F3D32" w:rsidP="000F3D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lang w:val="en-US"/>
        </w:rPr>
      </w:pPr>
      <w:r w:rsidRPr="00C5407A">
        <w:rPr>
          <w:rFonts w:ascii="Times New Roman" w:eastAsia="Calibri" w:hAnsi="Times New Roman" w:cs="Times New Roman"/>
          <w:b/>
          <w:color w:val="000000"/>
          <w:sz w:val="30"/>
          <w:szCs w:val="30"/>
          <w:lang w:val="en-US"/>
        </w:rPr>
        <w:t>Educational programs on Higher education</w:t>
      </w:r>
    </w:p>
    <w:p w:rsidR="000F3D32" w:rsidRPr="00C5407A" w:rsidRDefault="000F3D32" w:rsidP="000F3D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lang w:val="en-US"/>
        </w:rPr>
      </w:pPr>
      <w:r w:rsidRPr="00C5407A">
        <w:rPr>
          <w:rFonts w:ascii="Times New Roman" w:eastAsia="Calibri" w:hAnsi="Times New Roman" w:cs="Times New Roman"/>
          <w:b/>
          <w:color w:val="000000"/>
          <w:sz w:val="30"/>
          <w:szCs w:val="30"/>
          <w:lang w:val="en-US"/>
        </w:rPr>
        <w:t>Bachelor’s degree</w:t>
      </w:r>
    </w:p>
    <w:tbl>
      <w:tblPr>
        <w:tblW w:w="9356" w:type="dxa"/>
        <w:tblInd w:w="108" w:type="dxa"/>
        <w:tblBorders>
          <w:top w:val="double" w:sz="4" w:space="0" w:color="C4BC96"/>
          <w:left w:val="double" w:sz="4" w:space="0" w:color="C4BC96"/>
          <w:bottom w:val="double" w:sz="4" w:space="0" w:color="C4BC96"/>
          <w:right w:val="double" w:sz="4" w:space="0" w:color="C4BC96"/>
          <w:insideH w:val="double" w:sz="4" w:space="0" w:color="C4BC96"/>
          <w:insideV w:val="double" w:sz="4" w:space="0" w:color="C4BC96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693"/>
      </w:tblGrid>
      <w:tr w:rsidR="000F3D32" w:rsidRPr="000F3D32" w:rsidTr="003F6E83">
        <w:tc>
          <w:tcPr>
            <w:tcW w:w="6663" w:type="dxa"/>
            <w:vAlign w:val="center"/>
          </w:tcPr>
          <w:p w:rsidR="000F3D32" w:rsidRPr="000F3D32" w:rsidRDefault="000F3D32" w:rsidP="000F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D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Specialty title</w:t>
            </w:r>
          </w:p>
        </w:tc>
        <w:tc>
          <w:tcPr>
            <w:tcW w:w="2693" w:type="dxa"/>
            <w:vAlign w:val="center"/>
          </w:tcPr>
          <w:p w:rsidR="000F3D32" w:rsidRPr="000F3D32" w:rsidRDefault="000F3D32" w:rsidP="000F3D3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D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Duration of study</w:t>
            </w:r>
          </w:p>
        </w:tc>
      </w:tr>
      <w:tr w:rsidR="000F3D32" w:rsidRPr="000F3D32" w:rsidTr="003F6E83">
        <w:tc>
          <w:tcPr>
            <w:tcW w:w="6663" w:type="dxa"/>
            <w:vAlign w:val="center"/>
          </w:tcPr>
          <w:p w:rsidR="000F3D32" w:rsidRPr="000F3D32" w:rsidRDefault="000F3D32" w:rsidP="000F3D3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3D32">
              <w:rPr>
                <w:rFonts w:ascii="Times New Roman" w:hAnsi="Times New Roman"/>
                <w:sz w:val="20"/>
                <w:szCs w:val="20"/>
                <w:lang w:val="en-US"/>
              </w:rPr>
              <w:t>1-94 01 01 “Prevention and elimination of emergencies” for “Bachelor of Engineering”</w:t>
            </w:r>
          </w:p>
        </w:tc>
        <w:tc>
          <w:tcPr>
            <w:tcW w:w="2693" w:type="dxa"/>
            <w:vAlign w:val="center"/>
          </w:tcPr>
          <w:p w:rsidR="000F3D32" w:rsidRPr="000F3D32" w:rsidRDefault="000F3D32" w:rsidP="000F3D32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D32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0F3D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years</w:t>
            </w:r>
          </w:p>
          <w:p w:rsidR="000F3D32" w:rsidRPr="000F3D32" w:rsidRDefault="000F3D32" w:rsidP="000F3D32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D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(full-time learning)</w:t>
            </w:r>
          </w:p>
        </w:tc>
      </w:tr>
      <w:tr w:rsidR="000F3D32" w:rsidRPr="000F3D32" w:rsidTr="003F6E83">
        <w:tc>
          <w:tcPr>
            <w:tcW w:w="6663" w:type="dxa"/>
            <w:vAlign w:val="center"/>
          </w:tcPr>
          <w:p w:rsidR="000F3D32" w:rsidRPr="000F3D32" w:rsidRDefault="000F3D32" w:rsidP="000F3D3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3D32">
              <w:rPr>
                <w:rFonts w:ascii="Times New Roman" w:hAnsi="Times New Roman"/>
                <w:sz w:val="20"/>
                <w:szCs w:val="20"/>
                <w:lang w:val="en-US"/>
              </w:rPr>
              <w:t>1-94 01 01 “Prevention and elimination of emergencies” for “Bachelor of Engineering”</w:t>
            </w:r>
          </w:p>
        </w:tc>
        <w:tc>
          <w:tcPr>
            <w:tcW w:w="2693" w:type="dxa"/>
            <w:vAlign w:val="center"/>
          </w:tcPr>
          <w:p w:rsidR="000F3D32" w:rsidRPr="000F3D32" w:rsidRDefault="000F3D32" w:rsidP="000F3D32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D3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F3D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years</w:t>
            </w:r>
          </w:p>
          <w:p w:rsidR="000F3D32" w:rsidRPr="000F3D32" w:rsidRDefault="000F3D32" w:rsidP="000F3D32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D3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F3D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distance learning</w:t>
            </w:r>
            <w:r w:rsidRPr="000F3D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F3D32" w:rsidRPr="000F3D32" w:rsidTr="003F6E83">
        <w:trPr>
          <w:trHeight w:val="260"/>
        </w:trPr>
        <w:tc>
          <w:tcPr>
            <w:tcW w:w="6663" w:type="dxa"/>
            <w:vAlign w:val="center"/>
          </w:tcPr>
          <w:p w:rsidR="000F3D32" w:rsidRPr="000F3D32" w:rsidRDefault="000F3D32" w:rsidP="000F3D3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3D32">
              <w:rPr>
                <w:rFonts w:ascii="Times New Roman" w:hAnsi="Times New Roman"/>
                <w:sz w:val="20"/>
                <w:szCs w:val="20"/>
                <w:lang w:val="en-US"/>
              </w:rPr>
              <w:t>1-94 02 02 “Fire and industrial safety” for  “Bachelor of Engineering”</w:t>
            </w:r>
          </w:p>
        </w:tc>
        <w:tc>
          <w:tcPr>
            <w:tcW w:w="2693" w:type="dxa"/>
            <w:vAlign w:val="center"/>
          </w:tcPr>
          <w:p w:rsidR="000F3D32" w:rsidRPr="000F3D32" w:rsidRDefault="000F3D32" w:rsidP="000F3D32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D32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0F3D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years</w:t>
            </w:r>
          </w:p>
          <w:p w:rsidR="000F3D32" w:rsidRPr="000F3D32" w:rsidRDefault="000F3D32" w:rsidP="000F3D32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D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(full-time learning)</w:t>
            </w:r>
          </w:p>
        </w:tc>
      </w:tr>
      <w:tr w:rsidR="000F3D32" w:rsidRPr="000F3D32" w:rsidTr="003F6E83">
        <w:tc>
          <w:tcPr>
            <w:tcW w:w="6663" w:type="dxa"/>
            <w:vAlign w:val="center"/>
          </w:tcPr>
          <w:p w:rsidR="000F3D32" w:rsidRPr="000F3D32" w:rsidRDefault="000F3D32" w:rsidP="000F3D3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3D32">
              <w:rPr>
                <w:rFonts w:ascii="Times New Roman" w:hAnsi="Times New Roman"/>
                <w:sz w:val="20"/>
                <w:szCs w:val="20"/>
                <w:lang w:val="en-US"/>
              </w:rPr>
              <w:t>1-94 02 02 “Fire and industrial safety” for  “Bachelor of Engineering”</w:t>
            </w:r>
          </w:p>
        </w:tc>
        <w:tc>
          <w:tcPr>
            <w:tcW w:w="2693" w:type="dxa"/>
            <w:vAlign w:val="center"/>
          </w:tcPr>
          <w:p w:rsidR="000F3D32" w:rsidRPr="000F3D32" w:rsidRDefault="000F3D32" w:rsidP="000F3D32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D3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F3D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years</w:t>
            </w:r>
          </w:p>
          <w:p w:rsidR="000F3D32" w:rsidRPr="000F3D32" w:rsidRDefault="000F3D32" w:rsidP="000F3D32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D3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F3D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distance learning</w:t>
            </w:r>
            <w:r w:rsidRPr="000F3D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F3D32" w:rsidRPr="000F3D32" w:rsidRDefault="000F3D32" w:rsidP="000F3D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3D32" w:rsidRPr="00C5407A" w:rsidRDefault="000F3D32" w:rsidP="000F3D3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0"/>
          <w:szCs w:val="30"/>
          <w:lang w:val="en-US"/>
        </w:rPr>
      </w:pPr>
      <w:r w:rsidRPr="00C5407A">
        <w:rPr>
          <w:rFonts w:ascii="Times New Roman" w:hAnsi="Times New Roman" w:cs="Times New Roman"/>
          <w:b/>
          <w:sz w:val="30"/>
          <w:szCs w:val="30"/>
          <w:lang w:val="en-US"/>
        </w:rPr>
        <w:t>Educational programs of Higher education</w:t>
      </w:r>
    </w:p>
    <w:p w:rsidR="000F3D32" w:rsidRPr="00C5407A" w:rsidRDefault="000F3D32" w:rsidP="000F3D3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0"/>
          <w:szCs w:val="30"/>
          <w:lang w:val="en-US"/>
        </w:rPr>
      </w:pPr>
      <w:r w:rsidRPr="00C5407A">
        <w:rPr>
          <w:rFonts w:ascii="Times New Roman" w:hAnsi="Times New Roman" w:cs="Times New Roman"/>
          <w:b/>
          <w:iCs/>
          <w:sz w:val="30"/>
          <w:szCs w:val="30"/>
          <w:lang w:val="en-US"/>
        </w:rPr>
        <w:t>Master’s degree</w:t>
      </w:r>
    </w:p>
    <w:tbl>
      <w:tblPr>
        <w:tblW w:w="9356" w:type="dxa"/>
        <w:tblInd w:w="108" w:type="dxa"/>
        <w:tblBorders>
          <w:top w:val="double" w:sz="4" w:space="0" w:color="C4BC96"/>
          <w:left w:val="double" w:sz="4" w:space="0" w:color="C4BC96"/>
          <w:bottom w:val="double" w:sz="4" w:space="0" w:color="C4BC96"/>
          <w:right w:val="double" w:sz="4" w:space="0" w:color="C4BC96"/>
          <w:insideH w:val="double" w:sz="4" w:space="0" w:color="C4BC96"/>
          <w:insideV w:val="double" w:sz="4" w:space="0" w:color="C4BC96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693"/>
      </w:tblGrid>
      <w:tr w:rsidR="000F3D32" w:rsidRPr="000F3D32" w:rsidTr="003F6E83">
        <w:tc>
          <w:tcPr>
            <w:tcW w:w="6663" w:type="dxa"/>
            <w:vAlign w:val="center"/>
          </w:tcPr>
          <w:p w:rsidR="000F3D32" w:rsidRPr="000F3D32" w:rsidRDefault="000F3D32" w:rsidP="000F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D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Specialty title</w:t>
            </w:r>
          </w:p>
        </w:tc>
        <w:tc>
          <w:tcPr>
            <w:tcW w:w="2693" w:type="dxa"/>
            <w:vAlign w:val="center"/>
          </w:tcPr>
          <w:p w:rsidR="000F3D32" w:rsidRPr="000F3D32" w:rsidRDefault="000F3D32" w:rsidP="000F3D3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D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Duration of study</w:t>
            </w:r>
            <w:r w:rsidRPr="000F3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3D32" w:rsidRPr="000F3D32" w:rsidTr="003F6E83">
        <w:tc>
          <w:tcPr>
            <w:tcW w:w="6663" w:type="dxa"/>
            <w:vAlign w:val="center"/>
          </w:tcPr>
          <w:p w:rsidR="000F3D32" w:rsidRPr="000F3D32" w:rsidRDefault="000F3D32" w:rsidP="003F6E83">
            <w:pPr>
              <w:pStyle w:val="a4"/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3D32">
              <w:rPr>
                <w:rFonts w:ascii="Times New Roman" w:hAnsi="Times New Roman"/>
                <w:sz w:val="20"/>
                <w:szCs w:val="20"/>
                <w:lang w:val="en-US"/>
              </w:rPr>
              <w:t>1-94 80 01 “Prevention and elimination of emergencies” for  “Master of Engineering”</w:t>
            </w:r>
          </w:p>
        </w:tc>
        <w:tc>
          <w:tcPr>
            <w:tcW w:w="2693" w:type="dxa"/>
            <w:vAlign w:val="center"/>
          </w:tcPr>
          <w:p w:rsidR="000F3D32" w:rsidRPr="000F3D32" w:rsidRDefault="000F3D32" w:rsidP="003F6E8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D3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0F3D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year</w:t>
            </w:r>
          </w:p>
          <w:p w:rsidR="000F3D32" w:rsidRPr="000F3D32" w:rsidRDefault="000F3D32" w:rsidP="003F6E8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D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(full-time learning)</w:t>
            </w:r>
          </w:p>
        </w:tc>
      </w:tr>
      <w:tr w:rsidR="000F3D32" w:rsidRPr="000F3D32" w:rsidTr="003F6E83">
        <w:tc>
          <w:tcPr>
            <w:tcW w:w="6663" w:type="dxa"/>
            <w:vAlign w:val="center"/>
          </w:tcPr>
          <w:p w:rsidR="000F3D32" w:rsidRPr="000F3D32" w:rsidRDefault="000F3D32" w:rsidP="003F6E83">
            <w:pPr>
              <w:pStyle w:val="a4"/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3D32">
              <w:rPr>
                <w:rFonts w:ascii="Times New Roman" w:hAnsi="Times New Roman"/>
                <w:sz w:val="20"/>
                <w:szCs w:val="20"/>
                <w:lang w:val="en-US"/>
              </w:rPr>
              <w:t>1-94 80 01 “Prevention and elimination of emergencies” for  “Master of Engineering”</w:t>
            </w:r>
          </w:p>
        </w:tc>
        <w:tc>
          <w:tcPr>
            <w:tcW w:w="2693" w:type="dxa"/>
            <w:vAlign w:val="center"/>
          </w:tcPr>
          <w:p w:rsidR="000F3D32" w:rsidRPr="000F3D32" w:rsidRDefault="000F3D32" w:rsidP="003F6E8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D32"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  <w:r w:rsidRPr="000F3D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year</w:t>
            </w:r>
          </w:p>
          <w:p w:rsidR="000F3D32" w:rsidRPr="000F3D32" w:rsidRDefault="000F3D32" w:rsidP="003F6E8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D3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F3D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distance learning</w:t>
            </w:r>
            <w:r w:rsidRPr="000F3D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F3D32" w:rsidRPr="000F3D32" w:rsidTr="003F6E83">
        <w:tc>
          <w:tcPr>
            <w:tcW w:w="6663" w:type="dxa"/>
            <w:vAlign w:val="center"/>
          </w:tcPr>
          <w:p w:rsidR="000F3D32" w:rsidRPr="000F3D32" w:rsidRDefault="000F3D32" w:rsidP="003F6E83">
            <w:pPr>
              <w:pStyle w:val="a4"/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3D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1-94 81 01  “Management of emergency prevention” for “Master in management” </w:t>
            </w:r>
          </w:p>
        </w:tc>
        <w:tc>
          <w:tcPr>
            <w:tcW w:w="2693" w:type="dxa"/>
            <w:vAlign w:val="center"/>
          </w:tcPr>
          <w:p w:rsidR="000F3D32" w:rsidRPr="000F3D32" w:rsidRDefault="000F3D32" w:rsidP="003F6E8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D3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0F3D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year</w:t>
            </w:r>
          </w:p>
          <w:p w:rsidR="000F3D32" w:rsidRPr="000F3D32" w:rsidRDefault="000F3D32" w:rsidP="003F6E8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D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(full-time learning)</w:t>
            </w:r>
          </w:p>
        </w:tc>
      </w:tr>
      <w:tr w:rsidR="000F3D32" w:rsidRPr="000F3D32" w:rsidTr="003F6E83">
        <w:tc>
          <w:tcPr>
            <w:tcW w:w="6663" w:type="dxa"/>
            <w:vAlign w:val="center"/>
          </w:tcPr>
          <w:p w:rsidR="000F3D32" w:rsidRPr="000F3D32" w:rsidRDefault="000F3D32" w:rsidP="003F6E83">
            <w:pPr>
              <w:pStyle w:val="a4"/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3D32">
              <w:rPr>
                <w:rFonts w:ascii="Times New Roman" w:hAnsi="Times New Roman"/>
                <w:sz w:val="20"/>
                <w:szCs w:val="20"/>
                <w:lang w:val="en-US"/>
              </w:rPr>
              <w:t>1-94 81 01  “Management of emergency prevention” for “Master in management”</w:t>
            </w:r>
          </w:p>
        </w:tc>
        <w:tc>
          <w:tcPr>
            <w:tcW w:w="2693" w:type="dxa"/>
            <w:vAlign w:val="center"/>
          </w:tcPr>
          <w:p w:rsidR="000F3D32" w:rsidRPr="000F3D32" w:rsidRDefault="000F3D32" w:rsidP="003F6E8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D32"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  <w:r w:rsidRPr="000F3D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year</w:t>
            </w:r>
          </w:p>
          <w:p w:rsidR="000F3D32" w:rsidRPr="000F3D32" w:rsidRDefault="000F3D32" w:rsidP="003F6E8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D3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F3D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distance learning</w:t>
            </w:r>
            <w:r w:rsidRPr="000F3D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F3D32" w:rsidRPr="000F3D32" w:rsidRDefault="000F3D32" w:rsidP="000F3D32">
      <w:pPr>
        <w:ind w:firstLine="851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  <w:lang w:val="en-US"/>
        </w:rPr>
      </w:pPr>
      <w:r w:rsidRPr="000F3D32">
        <w:rPr>
          <w:rFonts w:ascii="Times New Roman" w:hAnsi="Times New Roman" w:cs="Times New Roman"/>
          <w:iCs/>
          <w:sz w:val="30"/>
          <w:szCs w:val="30"/>
          <w:shd w:val="clear" w:color="auto" w:fill="FFFFFF"/>
          <w:lang w:val="en-US"/>
        </w:rPr>
        <w:t xml:space="preserve">More detailed information can be found at the website </w:t>
      </w:r>
      <w:hyperlink r:id="rId6" w:history="1">
        <w:r w:rsidRPr="000F3D32">
          <w:rPr>
            <w:rFonts w:ascii="Times New Roman" w:hAnsi="Times New Roman" w:cs="Times New Roman"/>
            <w:iCs/>
            <w:sz w:val="30"/>
            <w:szCs w:val="30"/>
            <w:shd w:val="clear" w:color="auto" w:fill="FFFFFF"/>
            <w:lang w:val="en-US"/>
          </w:rPr>
          <w:t>http://ucp.by</w:t>
        </w:r>
      </w:hyperlink>
      <w:r w:rsidRPr="000F3D32">
        <w:rPr>
          <w:rFonts w:ascii="Times New Roman" w:hAnsi="Times New Roman" w:cs="Times New Roman"/>
          <w:iCs/>
          <w:sz w:val="30"/>
          <w:szCs w:val="30"/>
          <w:shd w:val="clear" w:color="auto" w:fill="FFFFFF"/>
          <w:lang w:val="en-US"/>
        </w:rPr>
        <w:t xml:space="preserve"> or by phones+375-17-341-77-11 (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  <w:lang w:val="en-US"/>
        </w:rPr>
        <w:t>First</w:t>
      </w:r>
      <w:r w:rsidRPr="000F3D32">
        <w:rPr>
          <w:rFonts w:ascii="Times New Roman" w:hAnsi="Times New Roman" w:cs="Times New Roman"/>
          <w:iCs/>
          <w:sz w:val="30"/>
          <w:szCs w:val="30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  <w:lang w:val="en-US"/>
        </w:rPr>
        <w:t>Deputy</w:t>
      </w:r>
      <w:r w:rsidRPr="000F3D32">
        <w:rPr>
          <w:rFonts w:ascii="Times New Roman" w:hAnsi="Times New Roman" w:cs="Times New Roman"/>
          <w:iCs/>
          <w:sz w:val="30"/>
          <w:szCs w:val="30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  <w:lang w:val="en-US"/>
        </w:rPr>
        <w:t>Head</w:t>
      </w:r>
      <w:r w:rsidRPr="000F3D32">
        <w:rPr>
          <w:rFonts w:ascii="Times New Roman" w:hAnsi="Times New Roman" w:cs="Times New Roman"/>
          <w:iCs/>
          <w:sz w:val="30"/>
          <w:szCs w:val="30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  <w:lang w:val="en-US"/>
        </w:rPr>
        <w:t>of</w:t>
      </w:r>
      <w:r w:rsidRPr="000F3D32">
        <w:rPr>
          <w:rFonts w:ascii="Times New Roman" w:hAnsi="Times New Roman" w:cs="Times New Roman"/>
          <w:iCs/>
          <w:sz w:val="30"/>
          <w:szCs w:val="30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  <w:lang w:val="en-US"/>
        </w:rPr>
        <w:t>the</w:t>
      </w:r>
      <w:r w:rsidRPr="000F3D32">
        <w:rPr>
          <w:rFonts w:ascii="Times New Roman" w:hAnsi="Times New Roman" w:cs="Times New Roman"/>
          <w:iCs/>
          <w:sz w:val="30"/>
          <w:szCs w:val="30"/>
          <w:shd w:val="clear" w:color="auto" w:fill="FFFFFF"/>
          <w:lang w:val="en-US"/>
        </w:rPr>
        <w:t xml:space="preserve"> </w:t>
      </w:r>
      <w:r w:rsidRPr="000F3D32">
        <w:rPr>
          <w:rFonts w:ascii="Times New Roman" w:hAnsi="Times New Roman" w:cs="Times New Roman"/>
          <w:iCs/>
          <w:sz w:val="30"/>
          <w:szCs w:val="30"/>
          <w:shd w:val="clear" w:color="auto" w:fill="FFFFFF"/>
          <w:lang w:val="en-US"/>
        </w:rPr>
        <w:br/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  <w:lang w:val="en-US"/>
        </w:rPr>
        <w:t>University</w:t>
      </w:r>
      <w:r w:rsidRPr="000F3D32">
        <w:rPr>
          <w:rFonts w:ascii="Times New Roman" w:hAnsi="Times New Roman" w:cs="Times New Roman"/>
          <w:iCs/>
          <w:sz w:val="30"/>
          <w:szCs w:val="30"/>
          <w:shd w:val="clear" w:color="auto" w:fill="FFFFFF"/>
          <w:lang w:val="en-US"/>
        </w:rPr>
        <w:t>), +375-17-345-44-46 (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  <w:lang w:val="en-US"/>
        </w:rPr>
        <w:t>International Relations Group</w:t>
      </w:r>
      <w:r w:rsidRPr="000F3D32">
        <w:rPr>
          <w:rFonts w:ascii="Times New Roman" w:hAnsi="Times New Roman" w:cs="Times New Roman"/>
          <w:iCs/>
          <w:sz w:val="30"/>
          <w:szCs w:val="30"/>
          <w:shd w:val="clear" w:color="auto" w:fill="FFFFFF"/>
          <w:lang w:val="en-US"/>
        </w:rPr>
        <w:t xml:space="preserve">), </w:t>
      </w:r>
      <w:proofErr w:type="spellStart"/>
      <w:r w:rsidRPr="000F3D32">
        <w:rPr>
          <w:rFonts w:ascii="Times New Roman" w:hAnsi="Times New Roman" w:cs="Times New Roman"/>
          <w:iCs/>
          <w:sz w:val="30"/>
          <w:szCs w:val="30"/>
          <w:shd w:val="clear" w:color="auto" w:fill="FFFFFF"/>
          <w:lang w:val="en-US"/>
        </w:rPr>
        <w:t>tel</w:t>
      </w:r>
      <w:proofErr w:type="spellEnd"/>
      <w:r w:rsidRPr="000F3D32">
        <w:rPr>
          <w:rFonts w:ascii="Times New Roman" w:hAnsi="Times New Roman" w:cs="Times New Roman"/>
          <w:iCs/>
          <w:sz w:val="30"/>
          <w:szCs w:val="30"/>
          <w:shd w:val="clear" w:color="auto" w:fill="FFFFFF"/>
          <w:lang w:val="en-US"/>
        </w:rPr>
        <w:t>/fax +375-177-77-27-75</w:t>
      </w:r>
      <w:r w:rsidR="00C5407A" w:rsidRPr="000F3D32">
        <w:rPr>
          <w:rFonts w:ascii="Times New Roman" w:hAnsi="Times New Roman" w:cs="Times New Roman"/>
          <w:iCs/>
          <w:sz w:val="30"/>
          <w:szCs w:val="30"/>
          <w:shd w:val="clear" w:color="auto" w:fill="FFFFFF"/>
          <w:lang w:val="en-US"/>
        </w:rPr>
        <w:t xml:space="preserve">, </w:t>
      </w:r>
      <w:r w:rsidR="00C5407A">
        <w:rPr>
          <w:rFonts w:ascii="Times New Roman" w:hAnsi="Times New Roman" w:cs="Times New Roman"/>
          <w:iCs/>
          <w:sz w:val="30"/>
          <w:szCs w:val="30"/>
          <w:shd w:val="clear" w:color="auto" w:fill="FFFFFF"/>
          <w:lang w:val="en-US"/>
        </w:rPr>
        <w:t>mobile</w:t>
      </w:r>
      <w:r w:rsidRPr="000F3D32">
        <w:rPr>
          <w:rFonts w:ascii="Times New Roman" w:hAnsi="Times New Roman" w:cs="Times New Roman"/>
          <w:iCs/>
          <w:sz w:val="30"/>
          <w:szCs w:val="30"/>
          <w:shd w:val="clear" w:color="auto" w:fill="FFFFFF"/>
          <w:lang w:val="en-US"/>
        </w:rPr>
        <w:t xml:space="preserve"> +375-29-361-79-86 (Head of Marketing Sector). </w:t>
      </w:r>
    </w:p>
    <w:p w:rsidR="00E47C0B" w:rsidRPr="000F3D32" w:rsidRDefault="00E47C0B" w:rsidP="00E47C0B">
      <w:pPr>
        <w:ind w:firstLine="708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  <w:lang w:val="en-US"/>
        </w:rPr>
      </w:pPr>
    </w:p>
    <w:sectPr w:rsidR="00E47C0B" w:rsidRPr="000F3D32" w:rsidSect="00CC0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13"/>
    <w:rsid w:val="000277B3"/>
    <w:rsid w:val="00063D00"/>
    <w:rsid w:val="00066422"/>
    <w:rsid w:val="000F3D32"/>
    <w:rsid w:val="00144A3A"/>
    <w:rsid w:val="00154C34"/>
    <w:rsid w:val="00195A03"/>
    <w:rsid w:val="00265B15"/>
    <w:rsid w:val="002B1C5F"/>
    <w:rsid w:val="00307468"/>
    <w:rsid w:val="00322979"/>
    <w:rsid w:val="003936D0"/>
    <w:rsid w:val="003B7177"/>
    <w:rsid w:val="003F6E83"/>
    <w:rsid w:val="004508CD"/>
    <w:rsid w:val="00455777"/>
    <w:rsid w:val="004D60A7"/>
    <w:rsid w:val="005D5F06"/>
    <w:rsid w:val="005F3E2E"/>
    <w:rsid w:val="00605470"/>
    <w:rsid w:val="006729A6"/>
    <w:rsid w:val="00675043"/>
    <w:rsid w:val="006D2F5D"/>
    <w:rsid w:val="006E62A5"/>
    <w:rsid w:val="0073076A"/>
    <w:rsid w:val="00762283"/>
    <w:rsid w:val="00822A94"/>
    <w:rsid w:val="00837DA3"/>
    <w:rsid w:val="008E1B17"/>
    <w:rsid w:val="008F5135"/>
    <w:rsid w:val="009735DE"/>
    <w:rsid w:val="009D7394"/>
    <w:rsid w:val="009F672B"/>
    <w:rsid w:val="00A67FA1"/>
    <w:rsid w:val="00A84E77"/>
    <w:rsid w:val="00AE0022"/>
    <w:rsid w:val="00B12349"/>
    <w:rsid w:val="00B3210A"/>
    <w:rsid w:val="00B80696"/>
    <w:rsid w:val="00BB0083"/>
    <w:rsid w:val="00C5407A"/>
    <w:rsid w:val="00C81652"/>
    <w:rsid w:val="00C87B13"/>
    <w:rsid w:val="00CC0655"/>
    <w:rsid w:val="00D42602"/>
    <w:rsid w:val="00E0387B"/>
    <w:rsid w:val="00E1604B"/>
    <w:rsid w:val="00E47C0B"/>
    <w:rsid w:val="00E87AFB"/>
    <w:rsid w:val="00EF695D"/>
    <w:rsid w:val="00F14E02"/>
    <w:rsid w:val="00F41AE8"/>
    <w:rsid w:val="00F4239D"/>
    <w:rsid w:val="00FA2B40"/>
    <w:rsid w:val="00FD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51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2">
    <w:name w:val="Основной текст 22"/>
    <w:basedOn w:val="a"/>
    <w:rsid w:val="000277B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a4">
    <w:name w:val="List Paragraph"/>
    <w:basedOn w:val="a"/>
    <w:qFormat/>
    <w:rsid w:val="000277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rsid w:val="006054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51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2">
    <w:name w:val="Основной текст 22"/>
    <w:basedOn w:val="a"/>
    <w:rsid w:val="000277B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a4">
    <w:name w:val="List Paragraph"/>
    <w:basedOn w:val="a"/>
    <w:qFormat/>
    <w:rsid w:val="000277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rsid w:val="00605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2041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2871">
                      <w:marLeft w:val="0"/>
                      <w:marRight w:val="0"/>
                      <w:marTop w:val="96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01055">
                      <w:marLeft w:val="900"/>
                      <w:marRight w:val="90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9577">
                      <w:marLeft w:val="0"/>
                      <w:marRight w:val="0"/>
                      <w:marTop w:val="96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68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cp.by" TargetMode="External"/><Relationship Id="rId5" Type="http://schemas.openxmlformats.org/officeDocument/2006/relationships/hyperlink" Target="http://www.rescuetraining.by/index.php/2014-08-16-07-54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diplomat2</cp:lastModifiedBy>
  <cp:revision>2</cp:revision>
  <dcterms:created xsi:type="dcterms:W3CDTF">2017-04-12T14:29:00Z</dcterms:created>
  <dcterms:modified xsi:type="dcterms:W3CDTF">2017-04-12T14:29:00Z</dcterms:modified>
</cp:coreProperties>
</file>