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D" w:rsidRDefault="00423E1D" w:rsidP="004E334E">
      <w:pPr>
        <w:ind w:left="-284" w:right="-141"/>
        <w:jc w:val="center"/>
        <w:rPr>
          <w:b/>
          <w:bCs/>
          <w:sz w:val="26"/>
          <w:szCs w:val="26"/>
        </w:rPr>
      </w:pPr>
    </w:p>
    <w:p w:rsidR="00DF2E1D" w:rsidRPr="00423E1D" w:rsidRDefault="007071CA" w:rsidP="004E334E">
      <w:pPr>
        <w:ind w:left="-284" w:right="-141"/>
        <w:jc w:val="center"/>
        <w:rPr>
          <w:b/>
          <w:bCs/>
          <w:sz w:val="26"/>
          <w:szCs w:val="26"/>
        </w:rPr>
      </w:pPr>
      <w:r w:rsidRPr="00423E1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-626745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Default="00423E1D" w:rsidP="00423E1D">
      <w:pPr>
        <w:jc w:val="both"/>
        <w:rPr>
          <w:sz w:val="26"/>
          <w:szCs w:val="26"/>
        </w:rPr>
      </w:pPr>
    </w:p>
    <w:p w:rsidR="00423E1D" w:rsidRPr="00423E1D" w:rsidRDefault="00423E1D" w:rsidP="00423E1D">
      <w:pPr>
        <w:jc w:val="center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ИНФОРМАЦИОННО-МАРКЕТИНГОВЫЕ УСЛУ</w:t>
      </w:r>
      <w:r>
        <w:rPr>
          <w:b/>
          <w:sz w:val="26"/>
          <w:szCs w:val="26"/>
        </w:rPr>
        <w:t>ГИ</w:t>
      </w:r>
    </w:p>
    <w:p w:rsidR="00423E1D" w:rsidRDefault="00423E1D" w:rsidP="001A0AD1">
      <w:pPr>
        <w:ind w:left="-567" w:firstLine="540"/>
        <w:jc w:val="both"/>
        <w:rPr>
          <w:sz w:val="26"/>
          <w:szCs w:val="26"/>
        </w:rPr>
      </w:pPr>
    </w:p>
    <w:p w:rsidR="009C1DBC" w:rsidRPr="00423E1D" w:rsidRDefault="009C1DBC" w:rsidP="001A0AD1">
      <w:pPr>
        <w:ind w:left="-567" w:firstLine="540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D5203E">
        <w:rPr>
          <w:sz w:val="26"/>
          <w:szCs w:val="26"/>
        </w:rPr>
        <w:t xml:space="preserve">(далее – НЦМиКЦ) </w:t>
      </w:r>
      <w:r w:rsidRPr="00423E1D">
        <w:rPr>
          <w:sz w:val="26"/>
          <w:szCs w:val="26"/>
        </w:rPr>
        <w:t>оказывает комплексную информационно-маркетинговую поддержку белорусским и зарубежным компаниям в продвижении товаров/услуг и развитии торговли.</w:t>
      </w:r>
    </w:p>
    <w:p w:rsidR="009C1DBC" w:rsidRPr="00423E1D" w:rsidRDefault="00353EB3" w:rsidP="001A0AD1">
      <w:pPr>
        <w:ind w:left="-567" w:firstLine="53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Одним из основных направлений деятельности </w:t>
      </w:r>
      <w:r w:rsidR="000A4B2D" w:rsidRPr="00423E1D">
        <w:rPr>
          <w:sz w:val="26"/>
          <w:szCs w:val="26"/>
        </w:rPr>
        <w:t>РУП «Национальный центр маркетинга и конъюнктуры цен» является проведение широкого спектра маркетинговых исследований товарных рынков</w:t>
      </w:r>
      <w:r w:rsidR="004E334E" w:rsidRPr="00423E1D">
        <w:rPr>
          <w:sz w:val="26"/>
          <w:szCs w:val="26"/>
        </w:rPr>
        <w:t>,</w:t>
      </w:r>
      <w:r w:rsidR="000A4B2D" w:rsidRPr="00423E1D">
        <w:rPr>
          <w:sz w:val="26"/>
          <w:szCs w:val="26"/>
        </w:rPr>
        <w:t xml:space="preserve"> как на региональном, так и на мировом уровне.</w:t>
      </w:r>
    </w:p>
    <w:p w:rsidR="004E334E" w:rsidRPr="00423E1D" w:rsidRDefault="004E334E" w:rsidP="00377A1E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показателей рынка и тенденций его развития</w:t>
      </w:r>
    </w:p>
    <w:p w:rsidR="00D17386" w:rsidRPr="00423E1D" w:rsidRDefault="00D17386" w:rsidP="00B420E3">
      <w:pPr>
        <w:ind w:left="-567" w:firstLine="567"/>
        <w:jc w:val="both"/>
        <w:rPr>
          <w:b/>
          <w:sz w:val="26"/>
          <w:szCs w:val="26"/>
        </w:rPr>
      </w:pPr>
      <w:r w:rsidRPr="00423E1D">
        <w:rPr>
          <w:sz w:val="26"/>
          <w:szCs w:val="26"/>
        </w:rPr>
        <w:t>Предоставление информации о текущем состоянии рынка, в том числе анализ основных показателей, характеризующих рынок, тенденциях и перспективах его развития.</w:t>
      </w:r>
      <w:r w:rsidRPr="00423E1D">
        <w:rPr>
          <w:b/>
          <w:sz w:val="26"/>
          <w:szCs w:val="26"/>
        </w:rPr>
        <w:t xml:space="preserve">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Конкурентный анализ</w:t>
      </w:r>
    </w:p>
    <w:p w:rsidR="004E334E" w:rsidRPr="00423E1D" w:rsidRDefault="001A0AD1" w:rsidP="00377A1E">
      <w:pPr>
        <w:ind w:left="-567" w:right="-142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Изучение деятельности компаний, ассортимента </w:t>
      </w:r>
      <w:r w:rsidR="00D17386" w:rsidRPr="00423E1D">
        <w:rPr>
          <w:sz w:val="26"/>
          <w:szCs w:val="26"/>
        </w:rPr>
        <w:t>продукции и</w:t>
      </w:r>
      <w:r w:rsidRPr="00423E1D">
        <w:rPr>
          <w:sz w:val="26"/>
          <w:szCs w:val="26"/>
        </w:rPr>
        <w:t xml:space="preserve"> цен. 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Изучение потребителей и поиск деловых партнеров</w:t>
      </w:r>
    </w:p>
    <w:p w:rsidR="004E334E" w:rsidRPr="00423E1D" w:rsidRDefault="004E334E" w:rsidP="001A0AD1">
      <w:pPr>
        <w:tabs>
          <w:tab w:val="num" w:pos="709"/>
        </w:tabs>
        <w:ind w:left="-567" w:firstLine="567"/>
        <w:jc w:val="both"/>
        <w:rPr>
          <w:bCs/>
          <w:sz w:val="26"/>
          <w:szCs w:val="26"/>
        </w:rPr>
      </w:pPr>
      <w:r w:rsidRPr="00423E1D">
        <w:rPr>
          <w:sz w:val="26"/>
          <w:szCs w:val="26"/>
        </w:rPr>
        <w:t>Поиск потребителей и определение степени их заинтересованности в приобретении продукции заказчика, а также определение спроса на товар/услугу, наиболее значимых факторов, влияющих на выбор.</w:t>
      </w:r>
      <w:r w:rsidR="001A0AD1" w:rsidRPr="00423E1D">
        <w:rPr>
          <w:sz w:val="26"/>
          <w:szCs w:val="26"/>
        </w:rPr>
        <w:t xml:space="preserve"> </w:t>
      </w:r>
      <w:r w:rsidRPr="00423E1D">
        <w:rPr>
          <w:bCs/>
          <w:sz w:val="26"/>
          <w:szCs w:val="26"/>
        </w:rPr>
        <w:t>Поиск партнеров, поставщиков комплектующих, оборудования, технологических линий.</w:t>
      </w:r>
    </w:p>
    <w:p w:rsidR="004E334E" w:rsidRPr="00423E1D" w:rsidRDefault="004E334E" w:rsidP="004E1D90">
      <w:pPr>
        <w:spacing w:before="60"/>
        <w:ind w:left="-567" w:right="-142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Комплексное изучение международных рынков</w:t>
      </w:r>
    </w:p>
    <w:p w:rsidR="009C1DBC" w:rsidRPr="00423E1D" w:rsidRDefault="004E334E" w:rsidP="00423E1D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Комплексное исследование </w:t>
      </w:r>
      <w:r w:rsidR="002E68CC" w:rsidRPr="00423E1D">
        <w:rPr>
          <w:sz w:val="26"/>
          <w:szCs w:val="26"/>
        </w:rPr>
        <w:t xml:space="preserve">рынков </w:t>
      </w:r>
      <w:r w:rsidRPr="00423E1D">
        <w:rPr>
          <w:sz w:val="26"/>
          <w:szCs w:val="26"/>
        </w:rPr>
        <w:t xml:space="preserve">является основой для принятия решений по маркетинговой </w:t>
      </w:r>
      <w:r w:rsidR="002E68CC" w:rsidRPr="00423E1D">
        <w:rPr>
          <w:sz w:val="26"/>
          <w:szCs w:val="26"/>
        </w:rPr>
        <w:t>стратегии</w:t>
      </w:r>
      <w:r w:rsidRPr="00423E1D">
        <w:rPr>
          <w:sz w:val="26"/>
          <w:szCs w:val="26"/>
        </w:rPr>
        <w:t xml:space="preserve"> предприяти</w:t>
      </w:r>
      <w:r w:rsidR="002E68CC" w:rsidRPr="00423E1D">
        <w:rPr>
          <w:sz w:val="26"/>
          <w:szCs w:val="26"/>
        </w:rPr>
        <w:t>й</w:t>
      </w:r>
      <w:r w:rsidRPr="00423E1D">
        <w:rPr>
          <w:sz w:val="26"/>
          <w:szCs w:val="26"/>
        </w:rPr>
        <w:t xml:space="preserve">, </w:t>
      </w:r>
      <w:r w:rsidR="002E68CC" w:rsidRPr="00423E1D">
        <w:rPr>
          <w:sz w:val="26"/>
          <w:szCs w:val="26"/>
        </w:rPr>
        <w:t>в том числе</w:t>
      </w:r>
      <w:r w:rsidRPr="00423E1D">
        <w:rPr>
          <w:sz w:val="26"/>
          <w:szCs w:val="26"/>
        </w:rPr>
        <w:t xml:space="preserve"> о выходе на зарубежные рынк</w:t>
      </w:r>
      <w:r w:rsidR="002E68CC" w:rsidRPr="00423E1D">
        <w:rPr>
          <w:sz w:val="26"/>
          <w:szCs w:val="26"/>
        </w:rPr>
        <w:t>и</w:t>
      </w:r>
      <w:r w:rsidRPr="00423E1D">
        <w:rPr>
          <w:sz w:val="26"/>
          <w:szCs w:val="26"/>
        </w:rPr>
        <w:t>.</w:t>
      </w:r>
    </w:p>
    <w:p w:rsidR="004E1D90" w:rsidRPr="00423E1D" w:rsidRDefault="004E1D90" w:rsidP="00423E1D">
      <w:pPr>
        <w:spacing w:after="120"/>
        <w:ind w:left="-567" w:right="-141" w:firstLine="567"/>
        <w:jc w:val="both"/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Услуги по консультированию</w:t>
      </w:r>
    </w:p>
    <w:p w:rsidR="004E334E" w:rsidRPr="00423E1D" w:rsidRDefault="004E334E" w:rsidP="004E1D90">
      <w:pPr>
        <w:tabs>
          <w:tab w:val="num" w:pos="709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Рекомендации </w:t>
      </w:r>
      <w:r w:rsidR="002E68CC" w:rsidRPr="00423E1D">
        <w:rPr>
          <w:sz w:val="26"/>
          <w:szCs w:val="26"/>
        </w:rPr>
        <w:t xml:space="preserve">для </w:t>
      </w:r>
      <w:r w:rsidRPr="00423E1D">
        <w:rPr>
          <w:sz w:val="26"/>
          <w:szCs w:val="26"/>
        </w:rPr>
        <w:t>прин</w:t>
      </w:r>
      <w:r w:rsidR="00D17386" w:rsidRPr="00423E1D">
        <w:rPr>
          <w:sz w:val="26"/>
          <w:szCs w:val="26"/>
        </w:rPr>
        <w:t xml:space="preserve">ятия решений в целях повышения </w:t>
      </w:r>
      <w:r w:rsidRPr="00423E1D">
        <w:rPr>
          <w:sz w:val="26"/>
          <w:szCs w:val="26"/>
        </w:rPr>
        <w:t xml:space="preserve">эффективности рыночного взаимодействия предприятия с покупателями и поставщиками продукции </w:t>
      </w:r>
      <w:r w:rsidR="002E68CC" w:rsidRPr="00423E1D">
        <w:rPr>
          <w:sz w:val="26"/>
          <w:szCs w:val="26"/>
        </w:rPr>
        <w:t>формируются по результатам проведенных исследований рынков</w:t>
      </w:r>
      <w:r w:rsidRPr="00423E1D">
        <w:rPr>
          <w:sz w:val="26"/>
          <w:szCs w:val="26"/>
        </w:rPr>
        <w:t>.</w:t>
      </w:r>
    </w:p>
    <w:p w:rsidR="00D17386" w:rsidRPr="00423E1D" w:rsidRDefault="00D17386" w:rsidP="00D17386">
      <w:pPr>
        <w:spacing w:after="120"/>
        <w:ind w:left="-567" w:firstLine="567"/>
        <w:jc w:val="both"/>
        <w:rPr>
          <w:sz w:val="26"/>
          <w:szCs w:val="26"/>
        </w:rPr>
      </w:pPr>
      <w:r w:rsidRPr="00423E1D">
        <w:rPr>
          <w:b/>
          <w:sz w:val="26"/>
          <w:szCs w:val="26"/>
        </w:rPr>
        <w:t>Подготовка аналитических обзоров</w:t>
      </w:r>
      <w:r w:rsidRPr="00423E1D">
        <w:rPr>
          <w:sz w:val="26"/>
          <w:szCs w:val="26"/>
        </w:rPr>
        <w:t xml:space="preserve"> белорусского и зарубежных рынков различных видов продукции</w:t>
      </w:r>
      <w:r w:rsidR="005E0C48" w:rsidRPr="00423E1D">
        <w:rPr>
          <w:sz w:val="26"/>
          <w:szCs w:val="26"/>
        </w:rPr>
        <w:t>, включающих анализ данных по объему рынка, внешнеторговым операциям, ценовой динамике и др</w:t>
      </w:r>
      <w:r w:rsidRPr="00423E1D">
        <w:rPr>
          <w:sz w:val="26"/>
          <w:szCs w:val="26"/>
        </w:rPr>
        <w:t>.</w:t>
      </w:r>
    </w:p>
    <w:p w:rsidR="000A4B2D" w:rsidRPr="00423E1D" w:rsidRDefault="00D17386" w:rsidP="00D17386">
      <w:pPr>
        <w:rPr>
          <w:b/>
          <w:sz w:val="26"/>
          <w:szCs w:val="26"/>
        </w:rPr>
      </w:pPr>
      <w:r w:rsidRPr="00423E1D">
        <w:rPr>
          <w:b/>
          <w:sz w:val="26"/>
          <w:szCs w:val="26"/>
        </w:rPr>
        <w:t>Преимущества работы с нами</w:t>
      </w:r>
    </w:p>
    <w:p w:rsidR="00D17386" w:rsidRPr="00423E1D" w:rsidRDefault="00B420E3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17386" w:rsidRPr="00423E1D">
        <w:rPr>
          <w:sz w:val="26"/>
          <w:szCs w:val="26"/>
        </w:rPr>
        <w:t xml:space="preserve">а 20 лет присутствия на рынке выполнено свыше </w:t>
      </w:r>
      <w:r w:rsidR="00377A1E" w:rsidRPr="00423E1D">
        <w:rPr>
          <w:sz w:val="26"/>
          <w:szCs w:val="26"/>
        </w:rPr>
        <w:t>5 000</w:t>
      </w:r>
      <w:r w:rsidR="00D17386" w:rsidRPr="00423E1D">
        <w:rPr>
          <w:sz w:val="26"/>
          <w:szCs w:val="26"/>
        </w:rPr>
        <w:t xml:space="preserve"> </w:t>
      </w:r>
      <w:r w:rsidR="005E0C48" w:rsidRPr="00423E1D">
        <w:rPr>
          <w:sz w:val="26"/>
          <w:szCs w:val="26"/>
        </w:rPr>
        <w:t xml:space="preserve">маркетинговых </w:t>
      </w:r>
      <w:r w:rsidR="00377A1E" w:rsidRPr="00423E1D">
        <w:rPr>
          <w:sz w:val="26"/>
          <w:szCs w:val="26"/>
        </w:rPr>
        <w:t xml:space="preserve">исследований, в том числе </w:t>
      </w:r>
      <w:r w:rsidR="00D17386" w:rsidRPr="00423E1D">
        <w:rPr>
          <w:sz w:val="26"/>
          <w:szCs w:val="26"/>
        </w:rPr>
        <w:t>рынков стран СНГ</w:t>
      </w:r>
      <w:r w:rsidR="005E0C48" w:rsidRPr="00423E1D">
        <w:rPr>
          <w:sz w:val="26"/>
          <w:szCs w:val="26"/>
        </w:rPr>
        <w:t>, Европы, Азии, Америки, Африки;</w:t>
      </w:r>
      <w:r w:rsidR="00D17386" w:rsidRPr="00423E1D">
        <w:rPr>
          <w:sz w:val="26"/>
          <w:szCs w:val="26"/>
        </w:rPr>
        <w:t xml:space="preserve"> </w:t>
      </w:r>
    </w:p>
    <w:p w:rsidR="00D17386" w:rsidRPr="00423E1D" w:rsidRDefault="005E0C48" w:rsidP="00D17386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п</w:t>
      </w:r>
      <w:r w:rsidR="00D17386" w:rsidRPr="00423E1D">
        <w:rPr>
          <w:sz w:val="26"/>
          <w:szCs w:val="26"/>
        </w:rPr>
        <w:t>артнерские отношения с более чем 150 организациями в 48 странах мира</w:t>
      </w:r>
      <w:r w:rsidRPr="00423E1D">
        <w:rPr>
          <w:sz w:val="26"/>
          <w:szCs w:val="26"/>
        </w:rPr>
        <w:t>;</w:t>
      </w:r>
    </w:p>
    <w:p w:rsidR="00377A1E" w:rsidRPr="00423E1D" w:rsidRDefault="005E0C48" w:rsidP="00377A1E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 w:rsidRPr="00423E1D">
        <w:rPr>
          <w:sz w:val="26"/>
          <w:szCs w:val="26"/>
        </w:rPr>
        <w:t>т</w:t>
      </w:r>
      <w:r w:rsidR="00377A1E" w:rsidRPr="00423E1D">
        <w:rPr>
          <w:sz w:val="26"/>
          <w:szCs w:val="26"/>
        </w:rPr>
        <w:t>есное взаимодействие с министерствами, органами государственного управления и загранучреждениями Республики Беларусь</w:t>
      </w:r>
      <w:r w:rsidRPr="00423E1D">
        <w:rPr>
          <w:sz w:val="26"/>
          <w:szCs w:val="26"/>
        </w:rPr>
        <w:t>;</w:t>
      </w:r>
      <w:r w:rsidR="00377A1E" w:rsidRPr="00423E1D">
        <w:rPr>
          <w:sz w:val="26"/>
          <w:szCs w:val="26"/>
        </w:rPr>
        <w:t xml:space="preserve">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>в</w:t>
      </w:r>
      <w:r w:rsidR="00D17386" w:rsidRPr="00423E1D">
        <w:rPr>
          <w:sz w:val="26"/>
          <w:szCs w:val="26"/>
        </w:rPr>
        <w:t>ысококвалифицированный персонал</w:t>
      </w:r>
      <w:r w:rsidR="00377A1E" w:rsidRPr="00423E1D">
        <w:rPr>
          <w:sz w:val="26"/>
          <w:szCs w:val="26"/>
        </w:rPr>
        <w:t>, владеющий различными иностранными языками</w:t>
      </w:r>
      <w:r w:rsidRPr="00423E1D">
        <w:rPr>
          <w:sz w:val="26"/>
          <w:szCs w:val="26"/>
        </w:rPr>
        <w:t xml:space="preserve">; </w:t>
      </w:r>
    </w:p>
    <w:p w:rsidR="005E0C48" w:rsidRPr="00423E1D" w:rsidRDefault="005E0C48" w:rsidP="005E0C48">
      <w:pPr>
        <w:pStyle w:val="a6"/>
        <w:numPr>
          <w:ilvl w:val="0"/>
          <w:numId w:val="12"/>
        </w:numPr>
        <w:tabs>
          <w:tab w:val="left" w:pos="284"/>
        </w:tabs>
        <w:ind w:left="-567" w:firstLine="567"/>
        <w:rPr>
          <w:sz w:val="26"/>
          <w:szCs w:val="26"/>
        </w:rPr>
      </w:pPr>
      <w:r w:rsidRPr="00423E1D">
        <w:rPr>
          <w:sz w:val="26"/>
          <w:szCs w:val="26"/>
        </w:rPr>
        <w:t xml:space="preserve">филиалы во всех областных городах Беларуси. </w:t>
      </w:r>
    </w:p>
    <w:p w:rsidR="00423E1D" w:rsidRDefault="00423E1D" w:rsidP="00525AEE">
      <w:pPr>
        <w:ind w:right="168"/>
        <w:rPr>
          <w:b/>
          <w:sz w:val="26"/>
          <w:szCs w:val="26"/>
        </w:rPr>
      </w:pPr>
    </w:p>
    <w:p w:rsidR="0033245B" w:rsidRDefault="00525AEE" w:rsidP="00B420E3">
      <w:pPr>
        <w:ind w:left="-567"/>
        <w:jc w:val="center"/>
        <w:rPr>
          <w:b/>
          <w:sz w:val="26"/>
          <w:szCs w:val="26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proofErr w:type="spellStart"/>
      <w:r w:rsidRPr="00844210">
        <w:rPr>
          <w:b/>
          <w:sz w:val="26"/>
          <w:szCs w:val="26"/>
        </w:rPr>
        <w:t>НЦМиКЦ</w:t>
      </w:r>
      <w:proofErr w:type="spellEnd"/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9" w:history="1">
        <w:r w:rsidRPr="005D7D06">
          <w:rPr>
            <w:rStyle w:val="ab"/>
            <w:b/>
            <w:color w:val="auto"/>
            <w:sz w:val="26"/>
            <w:szCs w:val="26"/>
            <w:u w:val="none"/>
          </w:rPr>
          <w:t>www.ncmps.by</w:t>
        </w:r>
      </w:hyperlink>
      <w:r w:rsidRPr="005D7D06">
        <w:rPr>
          <w:b/>
          <w:sz w:val="26"/>
          <w:szCs w:val="26"/>
        </w:rPr>
        <w:t>,</w:t>
      </w:r>
      <w:r w:rsidRPr="00FA6ECF">
        <w:rPr>
          <w:b/>
          <w:sz w:val="26"/>
          <w:szCs w:val="26"/>
        </w:rPr>
        <w:t xml:space="preserve"> </w:t>
      </w:r>
      <w:hyperlink r:id="rId10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www.icetrade.by, </w:t>
      </w:r>
      <w:r w:rsidR="00B420E3">
        <w:rPr>
          <w:b/>
          <w:sz w:val="26"/>
          <w:szCs w:val="26"/>
          <w:lang w:val="en-US"/>
        </w:rPr>
        <w:t>www</w:t>
      </w:r>
      <w:r w:rsidR="00B420E3" w:rsidRPr="00B420E3">
        <w:rPr>
          <w:b/>
          <w:sz w:val="26"/>
          <w:szCs w:val="26"/>
        </w:rPr>
        <w:t>.</w:t>
      </w:r>
      <w:r w:rsidRPr="00FA6ECF">
        <w:rPr>
          <w:b/>
          <w:sz w:val="26"/>
          <w:szCs w:val="26"/>
        </w:rPr>
        <w:t>goszakupki.by</w:t>
      </w:r>
      <w:r w:rsidR="007D521E">
        <w:rPr>
          <w:b/>
          <w:sz w:val="26"/>
          <w:szCs w:val="26"/>
        </w:rPr>
        <w:t>.</w:t>
      </w:r>
    </w:p>
    <w:p w:rsidR="0033245B" w:rsidRDefault="0033245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3245B" w:rsidRPr="00EA3F6D" w:rsidRDefault="0033245B" w:rsidP="0033245B">
      <w:pPr>
        <w:ind w:left="-284" w:right="-141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inline distT="0" distB="0" distL="0" distR="0" wp14:anchorId="6FC7E311" wp14:editId="625EF524">
            <wp:extent cx="1876425" cy="927958"/>
            <wp:effectExtent l="19050" t="0" r="9525" b="0"/>
            <wp:docPr id="1" name="Рисунок 1" descr="ENG лого цветно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лого цветное ново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810" cy="9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5B" w:rsidRPr="00FA0517" w:rsidRDefault="0033245B" w:rsidP="0033245B">
      <w:pPr>
        <w:ind w:left="-567" w:firstLine="540"/>
        <w:jc w:val="center"/>
        <w:rPr>
          <w:sz w:val="26"/>
          <w:szCs w:val="26"/>
          <w:lang w:val="en-US"/>
        </w:rPr>
      </w:pPr>
      <w:r w:rsidRPr="00FA0517">
        <w:rPr>
          <w:b/>
          <w:sz w:val="26"/>
          <w:szCs w:val="26"/>
          <w:lang w:val="en-US"/>
        </w:rPr>
        <w:t>INFORMATION AND MARKETING SERVICES</w:t>
      </w:r>
    </w:p>
    <w:p w:rsidR="0033245B" w:rsidRDefault="0033245B" w:rsidP="0033245B">
      <w:pPr>
        <w:ind w:left="-567" w:firstLine="53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Pr="00FA0517">
        <w:rPr>
          <w:sz w:val="26"/>
          <w:szCs w:val="26"/>
          <w:lang w:val="en-US"/>
        </w:rPr>
        <w:t xml:space="preserve">National </w:t>
      </w:r>
      <w:r>
        <w:rPr>
          <w:sz w:val="26"/>
          <w:szCs w:val="26"/>
          <w:lang w:val="en-US"/>
        </w:rPr>
        <w:t xml:space="preserve">Centre for </w:t>
      </w:r>
      <w:r w:rsidRPr="00FA0517">
        <w:rPr>
          <w:sz w:val="26"/>
          <w:szCs w:val="26"/>
          <w:lang w:val="en-US"/>
        </w:rPr>
        <w:t xml:space="preserve">Marketing of </w:t>
      </w:r>
      <w:r>
        <w:rPr>
          <w:sz w:val="26"/>
          <w:szCs w:val="26"/>
          <w:lang w:val="en-US"/>
        </w:rPr>
        <w:t xml:space="preserve">the </w:t>
      </w:r>
      <w:r w:rsidRPr="00FA0517">
        <w:rPr>
          <w:sz w:val="26"/>
          <w:szCs w:val="26"/>
          <w:lang w:val="en-US"/>
        </w:rPr>
        <w:t>Ministry of Foreign Affairs of the Republic of Belarus provides comprehensive inform</w:t>
      </w:r>
      <w:r>
        <w:rPr>
          <w:sz w:val="26"/>
          <w:szCs w:val="26"/>
          <w:lang w:val="en-US"/>
        </w:rPr>
        <w:t>ation and marketing support to B</w:t>
      </w:r>
      <w:r w:rsidRPr="00FA0517">
        <w:rPr>
          <w:sz w:val="26"/>
          <w:szCs w:val="26"/>
          <w:lang w:val="en-US"/>
        </w:rPr>
        <w:t>elarusian and foreign companie</w:t>
      </w:r>
      <w:r>
        <w:rPr>
          <w:sz w:val="26"/>
          <w:szCs w:val="26"/>
          <w:lang w:val="en-US"/>
        </w:rPr>
        <w:t xml:space="preserve">s in the promotion of products, </w:t>
      </w:r>
      <w:r w:rsidRPr="00FA0517">
        <w:rPr>
          <w:sz w:val="26"/>
          <w:szCs w:val="26"/>
          <w:lang w:val="en-US"/>
        </w:rPr>
        <w:t>services and trade.</w:t>
      </w:r>
      <w:r>
        <w:rPr>
          <w:sz w:val="26"/>
          <w:szCs w:val="26"/>
          <w:lang w:val="en-US"/>
        </w:rPr>
        <w:t xml:space="preserve"> </w:t>
      </w:r>
    </w:p>
    <w:p w:rsidR="0033245B" w:rsidRPr="00757712" w:rsidRDefault="0033245B" w:rsidP="0033245B">
      <w:pPr>
        <w:ind w:left="-567" w:firstLine="539"/>
        <w:jc w:val="both"/>
        <w:rPr>
          <w:sz w:val="26"/>
          <w:szCs w:val="26"/>
          <w:lang w:val="en-US"/>
        </w:rPr>
      </w:pPr>
      <w:r w:rsidRPr="00757712">
        <w:rPr>
          <w:sz w:val="26"/>
          <w:szCs w:val="26"/>
          <w:lang w:val="en-US"/>
        </w:rPr>
        <w:t xml:space="preserve">One of the </w:t>
      </w:r>
      <w:r>
        <w:rPr>
          <w:sz w:val="26"/>
          <w:szCs w:val="26"/>
          <w:lang w:val="en-US"/>
        </w:rPr>
        <w:t>principle directions of</w:t>
      </w:r>
      <w:r w:rsidRPr="00757712">
        <w:rPr>
          <w:sz w:val="26"/>
          <w:szCs w:val="26"/>
          <w:lang w:val="en-US"/>
        </w:rPr>
        <w:t xml:space="preserve"> activities of the National </w:t>
      </w:r>
      <w:r>
        <w:rPr>
          <w:sz w:val="26"/>
          <w:szCs w:val="26"/>
          <w:lang w:val="en-US"/>
        </w:rPr>
        <w:t xml:space="preserve">Centre for </w:t>
      </w:r>
      <w:r w:rsidRPr="00757712">
        <w:rPr>
          <w:sz w:val="26"/>
          <w:szCs w:val="26"/>
          <w:lang w:val="en-US"/>
        </w:rPr>
        <w:t xml:space="preserve">Marketing </w:t>
      </w:r>
      <w:r>
        <w:rPr>
          <w:sz w:val="26"/>
          <w:szCs w:val="26"/>
          <w:lang w:val="en-US"/>
        </w:rPr>
        <w:t xml:space="preserve">of the Republic of Belarus </w:t>
      </w:r>
      <w:r w:rsidRPr="00757712">
        <w:rPr>
          <w:sz w:val="26"/>
          <w:szCs w:val="26"/>
          <w:lang w:val="en-US"/>
        </w:rPr>
        <w:t>is carrying out</w:t>
      </w:r>
      <w:r>
        <w:rPr>
          <w:sz w:val="26"/>
          <w:szCs w:val="26"/>
          <w:lang w:val="en-US"/>
        </w:rPr>
        <w:t xml:space="preserve"> </w:t>
      </w:r>
      <w:r w:rsidRPr="00757712">
        <w:rPr>
          <w:sz w:val="26"/>
          <w:szCs w:val="26"/>
          <w:lang w:val="en-US"/>
        </w:rPr>
        <w:t xml:space="preserve">a wide range of marketing research of </w:t>
      </w:r>
      <w:r>
        <w:rPr>
          <w:sz w:val="26"/>
          <w:szCs w:val="26"/>
          <w:lang w:val="en-US"/>
        </w:rPr>
        <w:t>commodity</w:t>
      </w:r>
      <w:r w:rsidRPr="00757712">
        <w:rPr>
          <w:sz w:val="26"/>
          <w:szCs w:val="26"/>
          <w:lang w:val="en-US"/>
        </w:rPr>
        <w:t xml:space="preserve"> markets, both at the regional and global level.</w:t>
      </w:r>
      <w:r>
        <w:rPr>
          <w:sz w:val="26"/>
          <w:szCs w:val="26"/>
          <w:lang w:val="en-US"/>
        </w:rPr>
        <w:t xml:space="preserve"> </w:t>
      </w:r>
    </w:p>
    <w:p w:rsidR="0033245B" w:rsidRPr="00B95D4C" w:rsidRDefault="0033245B" w:rsidP="0033245B">
      <w:pPr>
        <w:ind w:left="-567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Study</w:t>
      </w:r>
      <w:r w:rsidRPr="003B6F6F">
        <w:rPr>
          <w:b/>
          <w:sz w:val="26"/>
          <w:szCs w:val="26"/>
          <w:lang w:val="en-US"/>
        </w:rPr>
        <w:t xml:space="preserve"> of market in</w:t>
      </w:r>
      <w:r>
        <w:rPr>
          <w:b/>
          <w:sz w:val="26"/>
          <w:szCs w:val="26"/>
          <w:lang w:val="en-US"/>
        </w:rPr>
        <w:t>dicators and trends</w:t>
      </w:r>
    </w:p>
    <w:p w:rsidR="0033245B" w:rsidRDefault="0033245B" w:rsidP="0033245B">
      <w:pPr>
        <w:spacing w:before="60"/>
        <w:ind w:left="-567" w:right="-142" w:firstLine="567"/>
        <w:jc w:val="both"/>
        <w:rPr>
          <w:sz w:val="26"/>
          <w:szCs w:val="26"/>
          <w:lang w:val="en-US"/>
        </w:rPr>
      </w:pPr>
      <w:proofErr w:type="gramStart"/>
      <w:r w:rsidRPr="003B6F6F">
        <w:rPr>
          <w:sz w:val="26"/>
          <w:szCs w:val="26"/>
          <w:lang w:val="en-US"/>
        </w:rPr>
        <w:t>Providing information about the current state of the market, including analysis of the main indicators characterizing market, trends and prospects of its development.</w:t>
      </w:r>
      <w:proofErr w:type="gramEnd"/>
    </w:p>
    <w:p w:rsidR="0033245B" w:rsidRPr="005A28D3" w:rsidRDefault="0033245B" w:rsidP="0033245B">
      <w:pPr>
        <w:ind w:left="-567" w:right="-142" w:firstLine="567"/>
        <w:jc w:val="both"/>
        <w:rPr>
          <w:b/>
          <w:sz w:val="26"/>
          <w:szCs w:val="26"/>
          <w:lang w:val="en-US"/>
        </w:rPr>
      </w:pPr>
      <w:r w:rsidRPr="005A28D3">
        <w:rPr>
          <w:b/>
          <w:sz w:val="26"/>
          <w:szCs w:val="26"/>
          <w:lang w:val="en-US"/>
        </w:rPr>
        <w:t>Competitive analysis</w:t>
      </w:r>
    </w:p>
    <w:p w:rsidR="0033245B" w:rsidRDefault="0033245B" w:rsidP="0033245B">
      <w:pPr>
        <w:spacing w:before="60"/>
        <w:ind w:left="-567" w:right="-142" w:firstLine="567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Study</w:t>
      </w:r>
      <w:r w:rsidRPr="003B6F6F">
        <w:rPr>
          <w:sz w:val="26"/>
          <w:szCs w:val="26"/>
          <w:lang w:val="en-US"/>
        </w:rPr>
        <w:t xml:space="preserve"> of companies, product range and prices.</w:t>
      </w:r>
      <w:proofErr w:type="gramEnd"/>
    </w:p>
    <w:p w:rsidR="0033245B" w:rsidRDefault="0033245B" w:rsidP="0033245B">
      <w:pPr>
        <w:tabs>
          <w:tab w:val="num" w:pos="709"/>
        </w:tabs>
        <w:ind w:left="-567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Study of cu</w:t>
      </w:r>
      <w:r w:rsidRPr="00EE086F"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  <w:lang w:val="en-US"/>
        </w:rPr>
        <w:t>tomers</w:t>
      </w:r>
      <w:r w:rsidRPr="00EE086F">
        <w:rPr>
          <w:b/>
          <w:sz w:val="26"/>
          <w:szCs w:val="26"/>
          <w:lang w:val="en-US"/>
        </w:rPr>
        <w:t xml:space="preserve"> and search for business partners</w:t>
      </w:r>
    </w:p>
    <w:p w:rsidR="0033245B" w:rsidRDefault="0033245B" w:rsidP="0033245B">
      <w:pPr>
        <w:spacing w:before="60"/>
        <w:ind w:left="-567" w:right="-142" w:firstLine="567"/>
        <w:jc w:val="both"/>
        <w:rPr>
          <w:sz w:val="26"/>
          <w:szCs w:val="26"/>
          <w:lang w:val="en-US"/>
        </w:rPr>
      </w:pPr>
      <w:r w:rsidRPr="001F5889">
        <w:rPr>
          <w:sz w:val="26"/>
          <w:szCs w:val="26"/>
          <w:lang w:val="en-US"/>
        </w:rPr>
        <w:t>Search</w:t>
      </w:r>
      <w:r>
        <w:rPr>
          <w:sz w:val="26"/>
          <w:szCs w:val="26"/>
          <w:lang w:val="en-US"/>
        </w:rPr>
        <w:t>ing</w:t>
      </w:r>
      <w:r w:rsidRPr="001F5889">
        <w:rPr>
          <w:sz w:val="26"/>
          <w:szCs w:val="26"/>
          <w:lang w:val="en-US"/>
        </w:rPr>
        <w:t xml:space="preserve"> for c</w:t>
      </w:r>
      <w:r>
        <w:rPr>
          <w:sz w:val="26"/>
          <w:szCs w:val="26"/>
          <w:lang w:val="en-US"/>
        </w:rPr>
        <w:t>ustomers</w:t>
      </w:r>
      <w:r w:rsidRPr="001F5889">
        <w:rPr>
          <w:sz w:val="26"/>
          <w:szCs w:val="26"/>
          <w:lang w:val="en-US"/>
        </w:rPr>
        <w:t xml:space="preserve"> and determining the degree of their interest in acquisition of products, as well as</w:t>
      </w:r>
      <w:r>
        <w:rPr>
          <w:sz w:val="26"/>
          <w:szCs w:val="26"/>
          <w:lang w:val="en-US"/>
        </w:rPr>
        <w:t xml:space="preserve"> definition of a product or </w:t>
      </w:r>
      <w:r w:rsidRPr="001F5889">
        <w:rPr>
          <w:sz w:val="26"/>
          <w:szCs w:val="26"/>
          <w:lang w:val="en-US"/>
        </w:rPr>
        <w:t>service, the most significant factors influencing the c</w:t>
      </w:r>
      <w:r>
        <w:rPr>
          <w:sz w:val="26"/>
          <w:szCs w:val="26"/>
          <w:lang w:val="en-US"/>
        </w:rPr>
        <w:t xml:space="preserve">ustomers’ </w:t>
      </w:r>
      <w:r w:rsidRPr="001F5889">
        <w:rPr>
          <w:sz w:val="26"/>
          <w:szCs w:val="26"/>
          <w:lang w:val="en-US"/>
        </w:rPr>
        <w:t xml:space="preserve">choice. </w:t>
      </w:r>
      <w:proofErr w:type="gramStart"/>
      <w:r w:rsidRPr="001F5889">
        <w:rPr>
          <w:sz w:val="26"/>
          <w:szCs w:val="26"/>
          <w:lang w:val="en-US"/>
        </w:rPr>
        <w:t>Search</w:t>
      </w:r>
      <w:r>
        <w:rPr>
          <w:sz w:val="26"/>
          <w:szCs w:val="26"/>
          <w:lang w:val="en-US"/>
        </w:rPr>
        <w:t>ing for partners and</w:t>
      </w:r>
      <w:r w:rsidRPr="001F5889">
        <w:rPr>
          <w:sz w:val="26"/>
          <w:szCs w:val="26"/>
          <w:lang w:val="en-US"/>
        </w:rPr>
        <w:t xml:space="preserve"> sup</w:t>
      </w:r>
      <w:r>
        <w:rPr>
          <w:sz w:val="26"/>
          <w:szCs w:val="26"/>
          <w:lang w:val="en-US"/>
        </w:rPr>
        <w:t>pliers of components, equipment,</w:t>
      </w:r>
      <w:r w:rsidRPr="001F5889">
        <w:rPr>
          <w:sz w:val="26"/>
          <w:szCs w:val="26"/>
          <w:lang w:val="en-US"/>
        </w:rPr>
        <w:t xml:space="preserve"> production lines</w:t>
      </w:r>
      <w:r>
        <w:rPr>
          <w:sz w:val="26"/>
          <w:szCs w:val="26"/>
          <w:lang w:val="en-US"/>
        </w:rPr>
        <w:t>, etc</w:t>
      </w:r>
      <w:r w:rsidRPr="001F5889">
        <w:rPr>
          <w:sz w:val="26"/>
          <w:szCs w:val="26"/>
          <w:lang w:val="en-US"/>
        </w:rPr>
        <w:t>.</w:t>
      </w:r>
      <w:proofErr w:type="gramEnd"/>
    </w:p>
    <w:p w:rsidR="0033245B" w:rsidRDefault="0033245B" w:rsidP="0033245B">
      <w:pPr>
        <w:spacing w:after="120"/>
        <w:ind w:left="-567" w:firstLine="567"/>
        <w:jc w:val="both"/>
        <w:rPr>
          <w:b/>
          <w:sz w:val="26"/>
          <w:szCs w:val="26"/>
          <w:lang w:val="en-US"/>
        </w:rPr>
      </w:pPr>
      <w:r w:rsidRPr="004021B5">
        <w:rPr>
          <w:b/>
          <w:sz w:val="26"/>
          <w:szCs w:val="26"/>
          <w:lang w:val="en-US"/>
        </w:rPr>
        <w:t xml:space="preserve">Comprehensive study of </w:t>
      </w:r>
      <w:r>
        <w:rPr>
          <w:b/>
          <w:sz w:val="26"/>
          <w:szCs w:val="26"/>
          <w:lang w:val="en-US"/>
        </w:rPr>
        <w:t>foreign</w:t>
      </w:r>
      <w:r w:rsidRPr="004021B5">
        <w:rPr>
          <w:b/>
          <w:sz w:val="26"/>
          <w:szCs w:val="26"/>
          <w:lang w:val="en-US"/>
        </w:rPr>
        <w:t xml:space="preserve"> markets</w:t>
      </w:r>
    </w:p>
    <w:p w:rsidR="0033245B" w:rsidRDefault="0033245B" w:rsidP="0033245B">
      <w:pPr>
        <w:spacing w:after="120"/>
        <w:ind w:left="-567" w:right="-141" w:firstLine="567"/>
        <w:jc w:val="both"/>
        <w:rPr>
          <w:sz w:val="26"/>
          <w:szCs w:val="26"/>
          <w:lang w:val="en-US"/>
        </w:rPr>
      </w:pPr>
      <w:r w:rsidRPr="00C678CD">
        <w:rPr>
          <w:sz w:val="26"/>
          <w:szCs w:val="26"/>
          <w:lang w:val="en-US"/>
        </w:rPr>
        <w:t xml:space="preserve">Comprehensive market research is the basis for </w:t>
      </w:r>
      <w:r>
        <w:rPr>
          <w:sz w:val="26"/>
          <w:szCs w:val="26"/>
          <w:lang w:val="en-US"/>
        </w:rPr>
        <w:t xml:space="preserve">making </w:t>
      </w:r>
      <w:r w:rsidRPr="00C678CD">
        <w:rPr>
          <w:sz w:val="26"/>
          <w:szCs w:val="26"/>
          <w:lang w:val="en-US"/>
        </w:rPr>
        <w:t xml:space="preserve">decision for the implementation of </w:t>
      </w:r>
      <w:r>
        <w:rPr>
          <w:sz w:val="26"/>
          <w:szCs w:val="26"/>
          <w:lang w:val="en-US"/>
        </w:rPr>
        <w:t>a</w:t>
      </w:r>
      <w:r w:rsidRPr="00C678C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company’s </w:t>
      </w:r>
      <w:r w:rsidRPr="00C678CD">
        <w:rPr>
          <w:sz w:val="26"/>
          <w:szCs w:val="26"/>
          <w:lang w:val="en-US"/>
        </w:rPr>
        <w:t xml:space="preserve">marketing strategy, including </w:t>
      </w:r>
      <w:r>
        <w:rPr>
          <w:sz w:val="26"/>
          <w:szCs w:val="26"/>
          <w:lang w:val="en-US"/>
        </w:rPr>
        <w:t xml:space="preserve">a strategy of </w:t>
      </w:r>
      <w:r w:rsidRPr="00C678CD">
        <w:rPr>
          <w:sz w:val="26"/>
          <w:szCs w:val="26"/>
          <w:lang w:val="en-US"/>
        </w:rPr>
        <w:t>access to foreign markets.</w:t>
      </w:r>
    </w:p>
    <w:p w:rsidR="0033245B" w:rsidRDefault="0033245B" w:rsidP="0033245B">
      <w:pPr>
        <w:tabs>
          <w:tab w:val="num" w:pos="709"/>
        </w:tabs>
        <w:ind w:left="-567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</w:t>
      </w:r>
      <w:r w:rsidRPr="00A8292B">
        <w:rPr>
          <w:b/>
          <w:sz w:val="26"/>
          <w:szCs w:val="26"/>
          <w:lang w:val="en-US"/>
        </w:rPr>
        <w:t>onsulting services</w:t>
      </w:r>
    </w:p>
    <w:p w:rsidR="0033245B" w:rsidRDefault="0033245B" w:rsidP="0033245B">
      <w:pPr>
        <w:spacing w:after="120"/>
        <w:ind w:left="-567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Recommendations for decision-making are based on </w:t>
      </w:r>
      <w:r w:rsidRPr="00A8292B">
        <w:rPr>
          <w:sz w:val="26"/>
          <w:szCs w:val="26"/>
          <w:lang w:val="en-US"/>
        </w:rPr>
        <w:t>market research</w:t>
      </w:r>
      <w:r>
        <w:rPr>
          <w:sz w:val="26"/>
          <w:szCs w:val="26"/>
          <w:lang w:val="en-US"/>
        </w:rPr>
        <w:t xml:space="preserve"> results with a view to improve</w:t>
      </w:r>
      <w:r w:rsidRPr="00A8292B">
        <w:rPr>
          <w:sz w:val="26"/>
          <w:szCs w:val="26"/>
          <w:lang w:val="en-US"/>
        </w:rPr>
        <w:t xml:space="preserve"> interaction between </w:t>
      </w:r>
      <w:r>
        <w:rPr>
          <w:sz w:val="26"/>
          <w:szCs w:val="26"/>
          <w:lang w:val="en-US"/>
        </w:rPr>
        <w:t>company</w:t>
      </w:r>
      <w:r w:rsidRPr="00A8292B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>customers</w:t>
      </w:r>
      <w:r w:rsidRPr="00A8292B">
        <w:rPr>
          <w:sz w:val="26"/>
          <w:szCs w:val="26"/>
          <w:lang w:val="en-US"/>
        </w:rPr>
        <w:t xml:space="preserve"> and suppliers of </w:t>
      </w:r>
      <w:r>
        <w:rPr>
          <w:sz w:val="26"/>
          <w:szCs w:val="26"/>
          <w:lang w:val="en-US"/>
        </w:rPr>
        <w:t>goods.</w:t>
      </w:r>
    </w:p>
    <w:p w:rsidR="0033245B" w:rsidRDefault="0033245B" w:rsidP="0033245B">
      <w:pPr>
        <w:spacing w:after="120"/>
        <w:ind w:left="-567" w:firstLine="567"/>
        <w:jc w:val="both"/>
        <w:rPr>
          <w:b/>
          <w:sz w:val="26"/>
          <w:szCs w:val="26"/>
          <w:lang w:val="en-US"/>
        </w:rPr>
      </w:pPr>
      <w:r w:rsidRPr="001F2B76">
        <w:rPr>
          <w:b/>
          <w:sz w:val="26"/>
          <w:szCs w:val="26"/>
          <w:lang w:val="en-US"/>
        </w:rPr>
        <w:t>Preparation of analytical re</w:t>
      </w:r>
      <w:r>
        <w:rPr>
          <w:b/>
          <w:sz w:val="26"/>
          <w:szCs w:val="26"/>
          <w:lang w:val="en-US"/>
        </w:rPr>
        <w:t>views</w:t>
      </w:r>
    </w:p>
    <w:p w:rsidR="0033245B" w:rsidRPr="001F2B76" w:rsidRDefault="0033245B" w:rsidP="0033245B">
      <w:pPr>
        <w:spacing w:after="120"/>
        <w:ind w:left="-567" w:firstLine="567"/>
        <w:jc w:val="both"/>
        <w:rPr>
          <w:b/>
          <w:sz w:val="26"/>
          <w:szCs w:val="26"/>
          <w:lang w:val="en-US"/>
        </w:rPr>
      </w:pPr>
      <w:proofErr w:type="gramStart"/>
      <w:r w:rsidRPr="001F2B76">
        <w:rPr>
          <w:sz w:val="26"/>
          <w:szCs w:val="26"/>
          <w:lang w:val="en-US"/>
        </w:rPr>
        <w:t>Preparation of analytical reviews of Belarusian and foreign markets of various products, including the analysis of data on market volume, foreign trade transactions, price movement</w:t>
      </w:r>
      <w:r>
        <w:rPr>
          <w:sz w:val="26"/>
          <w:szCs w:val="26"/>
          <w:lang w:val="en-US"/>
        </w:rPr>
        <w:t>s, etc.</w:t>
      </w:r>
      <w:proofErr w:type="gramEnd"/>
    </w:p>
    <w:p w:rsidR="0033245B" w:rsidRPr="00CC6509" w:rsidRDefault="0033245B" w:rsidP="0033245B">
      <w:pPr>
        <w:spacing w:line="300" w:lineRule="exact"/>
        <w:rPr>
          <w:b/>
          <w:sz w:val="26"/>
          <w:szCs w:val="26"/>
          <w:lang w:val="en-US"/>
        </w:rPr>
      </w:pPr>
      <w:r w:rsidRPr="00CC6509">
        <w:rPr>
          <w:b/>
          <w:sz w:val="26"/>
          <w:szCs w:val="26"/>
          <w:lang w:val="en-US"/>
        </w:rPr>
        <w:t xml:space="preserve">Advantages </w:t>
      </w:r>
      <w:r>
        <w:rPr>
          <w:b/>
          <w:sz w:val="26"/>
          <w:szCs w:val="26"/>
          <w:lang w:val="en-US"/>
        </w:rPr>
        <w:t xml:space="preserve">of cooperating with us are the </w:t>
      </w:r>
      <w:r w:rsidRPr="00CC6509">
        <w:rPr>
          <w:b/>
          <w:sz w:val="26"/>
          <w:szCs w:val="26"/>
          <w:lang w:val="en-US"/>
        </w:rPr>
        <w:t xml:space="preserve">following: </w:t>
      </w:r>
    </w:p>
    <w:p w:rsidR="0033245B" w:rsidRDefault="0033245B" w:rsidP="0033245B">
      <w:pPr>
        <w:pStyle w:val="a6"/>
        <w:numPr>
          <w:ilvl w:val="0"/>
          <w:numId w:val="13"/>
        </w:numPr>
        <w:ind w:left="0" w:right="168" w:firstLine="0"/>
        <w:rPr>
          <w:sz w:val="26"/>
          <w:szCs w:val="26"/>
          <w:lang w:val="en-US"/>
        </w:rPr>
      </w:pPr>
      <w:r w:rsidRPr="00CC6509">
        <w:rPr>
          <w:sz w:val="26"/>
          <w:szCs w:val="26"/>
          <w:lang w:val="en-US"/>
        </w:rPr>
        <w:t>more than 5000 market research, including the markets of the CIS countries, Europe, Asia, America and Africa for 20 years of presence on the market;</w:t>
      </w:r>
    </w:p>
    <w:p w:rsidR="0033245B" w:rsidRPr="00CC6509" w:rsidRDefault="0033245B" w:rsidP="0033245B">
      <w:pPr>
        <w:pStyle w:val="a6"/>
        <w:numPr>
          <w:ilvl w:val="0"/>
          <w:numId w:val="13"/>
        </w:numPr>
        <w:ind w:left="0" w:right="16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partnership</w:t>
      </w:r>
      <w:r w:rsidRPr="00CC6509">
        <w:rPr>
          <w:sz w:val="26"/>
          <w:szCs w:val="26"/>
          <w:lang w:val="en-US"/>
        </w:rPr>
        <w:t xml:space="preserve"> with more than 150 organizations in 48 countries;</w:t>
      </w:r>
    </w:p>
    <w:p w:rsidR="0033245B" w:rsidRPr="001F2B76" w:rsidRDefault="0033245B" w:rsidP="0033245B">
      <w:pPr>
        <w:pStyle w:val="a6"/>
        <w:numPr>
          <w:ilvl w:val="0"/>
          <w:numId w:val="13"/>
        </w:numPr>
        <w:ind w:left="0" w:right="168" w:firstLine="0"/>
        <w:rPr>
          <w:sz w:val="26"/>
          <w:szCs w:val="26"/>
          <w:lang w:val="en-US"/>
        </w:rPr>
      </w:pPr>
      <w:r w:rsidRPr="001F2B76">
        <w:rPr>
          <w:sz w:val="26"/>
          <w:szCs w:val="26"/>
          <w:lang w:val="en-US"/>
        </w:rPr>
        <w:t xml:space="preserve">close cooperation with ministries, government bodies and foreign </w:t>
      </w:r>
      <w:r w:rsidRPr="00EA3F6D">
        <w:rPr>
          <w:sz w:val="26"/>
          <w:szCs w:val="26"/>
          <w:lang w:val="en-US"/>
        </w:rPr>
        <w:t>missions</w:t>
      </w:r>
      <w:r w:rsidRPr="001F2B76">
        <w:rPr>
          <w:sz w:val="26"/>
          <w:szCs w:val="26"/>
          <w:lang w:val="en-US"/>
        </w:rPr>
        <w:t xml:space="preserve"> of the Republic of Belarus;</w:t>
      </w:r>
    </w:p>
    <w:p w:rsidR="0033245B" w:rsidRPr="001F2B76" w:rsidRDefault="0033245B" w:rsidP="0033245B">
      <w:pPr>
        <w:pStyle w:val="a6"/>
        <w:numPr>
          <w:ilvl w:val="0"/>
          <w:numId w:val="13"/>
        </w:numPr>
        <w:ind w:left="0" w:right="168" w:firstLine="0"/>
        <w:rPr>
          <w:sz w:val="26"/>
          <w:szCs w:val="26"/>
          <w:lang w:val="en-US"/>
        </w:rPr>
      </w:pPr>
      <w:r w:rsidRPr="00EA3F6D">
        <w:rPr>
          <w:sz w:val="26"/>
          <w:szCs w:val="26"/>
          <w:lang w:val="en-US"/>
        </w:rPr>
        <w:t xml:space="preserve">highly qualified specialists </w:t>
      </w:r>
      <w:r>
        <w:rPr>
          <w:sz w:val="26"/>
          <w:szCs w:val="26"/>
          <w:lang w:val="en-US"/>
        </w:rPr>
        <w:t>with a command of</w:t>
      </w:r>
      <w:r w:rsidRPr="00EA3F6D">
        <w:rPr>
          <w:sz w:val="26"/>
          <w:szCs w:val="26"/>
          <w:lang w:val="en-US"/>
        </w:rPr>
        <w:t xml:space="preserve"> foreign languages</w:t>
      </w:r>
      <w:r w:rsidRPr="001F2B76">
        <w:rPr>
          <w:sz w:val="26"/>
          <w:szCs w:val="26"/>
          <w:lang w:val="en-US"/>
        </w:rPr>
        <w:t>;</w:t>
      </w:r>
    </w:p>
    <w:p w:rsidR="0033245B" w:rsidRPr="001F2B76" w:rsidRDefault="0033245B" w:rsidP="0033245B">
      <w:pPr>
        <w:pStyle w:val="a6"/>
        <w:numPr>
          <w:ilvl w:val="0"/>
          <w:numId w:val="13"/>
        </w:numPr>
        <w:ind w:left="0" w:right="168" w:firstLine="0"/>
        <w:rPr>
          <w:b/>
          <w:sz w:val="26"/>
          <w:szCs w:val="26"/>
          <w:lang w:val="en-US"/>
        </w:rPr>
      </w:pPr>
      <w:proofErr w:type="gramStart"/>
      <w:r w:rsidRPr="00EA3F6D">
        <w:rPr>
          <w:rFonts w:eastAsia="+mn-ea"/>
          <w:bCs/>
          <w:kern w:val="24"/>
          <w:sz w:val="26"/>
          <w:szCs w:val="26"/>
          <w:lang w:val="en-US"/>
        </w:rPr>
        <w:t>b</w:t>
      </w:r>
      <w:r w:rsidRPr="00EA3F6D">
        <w:rPr>
          <w:bCs/>
          <w:sz w:val="26"/>
          <w:szCs w:val="26"/>
          <w:lang w:val="en-US"/>
        </w:rPr>
        <w:t>ranch</w:t>
      </w:r>
      <w:proofErr w:type="gramEnd"/>
      <w:r w:rsidRPr="00EA3F6D">
        <w:rPr>
          <w:bCs/>
          <w:sz w:val="26"/>
          <w:szCs w:val="26"/>
          <w:lang w:val="en-US"/>
        </w:rPr>
        <w:t xml:space="preserve"> offices </w:t>
      </w:r>
      <w:r w:rsidRPr="00EA3F6D">
        <w:rPr>
          <w:sz w:val="26"/>
          <w:szCs w:val="26"/>
          <w:lang w:val="en-US"/>
        </w:rPr>
        <w:t>in all major business hubs of the Republic of Belarus</w:t>
      </w:r>
      <w:r w:rsidRPr="001F2B76">
        <w:rPr>
          <w:sz w:val="26"/>
          <w:szCs w:val="26"/>
          <w:lang w:val="en-US"/>
        </w:rPr>
        <w:t>.</w:t>
      </w:r>
    </w:p>
    <w:p w:rsidR="0033245B" w:rsidRPr="006906CB" w:rsidRDefault="0033245B" w:rsidP="0033245B">
      <w:pPr>
        <w:autoSpaceDE w:val="0"/>
        <w:autoSpaceDN w:val="0"/>
        <w:adjustRightInd w:val="0"/>
        <w:spacing w:line="300" w:lineRule="exact"/>
        <w:jc w:val="both"/>
        <w:rPr>
          <w:sz w:val="30"/>
          <w:szCs w:val="30"/>
          <w:lang w:val="en-US"/>
        </w:rPr>
      </w:pPr>
    </w:p>
    <w:p w:rsidR="0033245B" w:rsidRPr="006906CB" w:rsidRDefault="0033245B" w:rsidP="0033245B">
      <w:pPr>
        <w:autoSpaceDE w:val="0"/>
        <w:autoSpaceDN w:val="0"/>
        <w:adjustRightInd w:val="0"/>
        <w:spacing w:line="300" w:lineRule="exact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For further information</w:t>
      </w:r>
      <w:r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please visit our websites:</w:t>
      </w:r>
      <w:r w:rsidRPr="00EA3F6D">
        <w:rPr>
          <w:b/>
          <w:sz w:val="26"/>
          <w:szCs w:val="26"/>
          <w:lang w:val="en-US"/>
        </w:rPr>
        <w:t xml:space="preserve"> www.icetrade.by, </w:t>
      </w:r>
      <w:hyperlink r:id="rId12" w:history="1">
        <w:r w:rsidRPr="00EA3F6D">
          <w:rPr>
            <w:b/>
            <w:sz w:val="26"/>
            <w:szCs w:val="26"/>
            <w:lang w:val="en-US"/>
          </w:rPr>
          <w:t>www.ncmps.by</w:t>
        </w:r>
      </w:hyperlink>
      <w:r w:rsidRPr="00EA3F6D">
        <w:rPr>
          <w:b/>
          <w:sz w:val="26"/>
          <w:szCs w:val="26"/>
          <w:lang w:val="en-US"/>
        </w:rPr>
        <w:t xml:space="preserve">, </w:t>
      </w:r>
      <w:hyperlink r:id="rId13" w:history="1">
        <w:r w:rsidRPr="00EA3F6D">
          <w:rPr>
            <w:b/>
            <w:sz w:val="26"/>
            <w:szCs w:val="26"/>
            <w:lang w:val="en-US"/>
          </w:rPr>
          <w:t>www.export.by</w:t>
        </w:r>
      </w:hyperlink>
      <w:r w:rsidRPr="00EA3F6D">
        <w:rPr>
          <w:b/>
          <w:sz w:val="26"/>
          <w:szCs w:val="26"/>
          <w:lang w:val="en-US"/>
        </w:rPr>
        <w:t xml:space="preserve">, </w:t>
      </w:r>
      <w:hyperlink r:id="rId14" w:history="1">
        <w:r w:rsidRPr="00EA3F6D">
          <w:rPr>
            <w:rStyle w:val="ab"/>
            <w:b/>
            <w:color w:val="auto"/>
            <w:sz w:val="26"/>
            <w:szCs w:val="26"/>
            <w:u w:val="none"/>
            <w:lang w:val="en-US"/>
          </w:rPr>
          <w:t>www.goszakupki.by</w:t>
        </w:r>
      </w:hyperlink>
      <w:r w:rsidRPr="00EA3F6D">
        <w:rPr>
          <w:b/>
          <w:sz w:val="26"/>
          <w:szCs w:val="26"/>
          <w:lang w:val="en-US"/>
        </w:rPr>
        <w:t xml:space="preserve">. </w:t>
      </w:r>
    </w:p>
    <w:p w:rsidR="0033245B" w:rsidRPr="006906CB" w:rsidRDefault="0033245B" w:rsidP="0033245B">
      <w:pPr>
        <w:autoSpaceDE w:val="0"/>
        <w:autoSpaceDN w:val="0"/>
        <w:adjustRightInd w:val="0"/>
        <w:spacing w:line="300" w:lineRule="exact"/>
        <w:ind w:left="1134" w:firstLine="360"/>
        <w:jc w:val="both"/>
        <w:rPr>
          <w:sz w:val="26"/>
          <w:szCs w:val="26"/>
          <w:lang w:val="en-US"/>
        </w:rPr>
      </w:pPr>
    </w:p>
    <w:p w:rsidR="0033245B" w:rsidRPr="00EA3F6D" w:rsidRDefault="0033245B" w:rsidP="0033245B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  <w:lang w:val="en-US"/>
        </w:rPr>
      </w:pPr>
      <w:r w:rsidRPr="00EA3F6D">
        <w:rPr>
          <w:sz w:val="26"/>
          <w:szCs w:val="26"/>
          <w:lang w:val="en-US"/>
        </w:rPr>
        <w:t>Thank you for your attention.</w:t>
      </w:r>
    </w:p>
    <w:p w:rsidR="005E0C48" w:rsidRPr="0033245B" w:rsidRDefault="005E0C48" w:rsidP="00B420E3">
      <w:pPr>
        <w:ind w:left="-567"/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5E0C48" w:rsidRPr="0033245B" w:rsidSect="00377A1E">
      <w:headerReference w:type="default" r:id="rId15"/>
      <w:pgSz w:w="11906" w:h="16838"/>
      <w:pgMar w:top="1134" w:right="707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1E" w:rsidRDefault="0078201E" w:rsidP="00883EFD">
      <w:r>
        <w:separator/>
      </w:r>
    </w:p>
  </w:endnote>
  <w:endnote w:type="continuationSeparator" w:id="0">
    <w:p w:rsidR="0078201E" w:rsidRDefault="0078201E" w:rsidP="0088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1E" w:rsidRDefault="0078201E" w:rsidP="00883EFD">
      <w:r>
        <w:separator/>
      </w:r>
    </w:p>
  </w:footnote>
  <w:footnote w:type="continuationSeparator" w:id="0">
    <w:p w:rsidR="0078201E" w:rsidRDefault="0078201E" w:rsidP="0088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3988"/>
      <w:gridCol w:w="5867"/>
    </w:tblGrid>
    <w:tr w:rsidR="00D17386" w:rsidTr="00D619E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D17386" w:rsidRPr="00331A83" w:rsidRDefault="00D17386" w:rsidP="00347980">
          <w:pPr>
            <w:pStyle w:val="a9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203-58-10, 203-40-36</w:t>
          </w:r>
        </w:p>
        <w:p w:rsidR="00D17386" w:rsidRPr="00377A1E" w:rsidRDefault="00D17386" w:rsidP="00D619E9">
          <w:pPr>
            <w:pStyle w:val="a9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market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D17386" w:rsidRPr="00331A83" w:rsidRDefault="00D17386" w:rsidP="00377A1E">
          <w:pPr>
            <w:pStyle w:val="a9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D17386" w:rsidRDefault="00D173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2C"/>
    <w:multiLevelType w:val="hybridMultilevel"/>
    <w:tmpl w:val="9E1E5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F0391"/>
    <w:multiLevelType w:val="hybridMultilevel"/>
    <w:tmpl w:val="169468BE"/>
    <w:lvl w:ilvl="0" w:tplc="A20889B2">
      <w:start w:val="1"/>
      <w:numFmt w:val="bullet"/>
      <w:lvlText w:val="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5AC"/>
    <w:multiLevelType w:val="hybridMultilevel"/>
    <w:tmpl w:val="AB18595A"/>
    <w:lvl w:ilvl="0" w:tplc="8ED04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480"/>
    <w:multiLevelType w:val="hybridMultilevel"/>
    <w:tmpl w:val="DDA8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78BD"/>
    <w:multiLevelType w:val="hybridMultilevel"/>
    <w:tmpl w:val="91A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06F"/>
    <w:multiLevelType w:val="hybridMultilevel"/>
    <w:tmpl w:val="E09A1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354C5"/>
    <w:multiLevelType w:val="hybridMultilevel"/>
    <w:tmpl w:val="C36C968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A9C6FD1"/>
    <w:multiLevelType w:val="hybridMultilevel"/>
    <w:tmpl w:val="F18655E8"/>
    <w:lvl w:ilvl="0" w:tplc="6D4ED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5300A7"/>
    <w:multiLevelType w:val="hybridMultilevel"/>
    <w:tmpl w:val="52A29596"/>
    <w:lvl w:ilvl="0" w:tplc="55B80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856CE"/>
    <w:multiLevelType w:val="multilevel"/>
    <w:tmpl w:val="D95C50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19A22D0"/>
    <w:multiLevelType w:val="hybridMultilevel"/>
    <w:tmpl w:val="DC16BDD8"/>
    <w:lvl w:ilvl="0" w:tplc="5F8633C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CE0FA0"/>
    <w:multiLevelType w:val="hybridMultilevel"/>
    <w:tmpl w:val="5126755C"/>
    <w:lvl w:ilvl="0" w:tplc="F704F79E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7B777EE"/>
    <w:multiLevelType w:val="hybridMultilevel"/>
    <w:tmpl w:val="6E8A0D80"/>
    <w:lvl w:ilvl="0" w:tplc="F704F79E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6"/>
    <w:rsid w:val="0005703D"/>
    <w:rsid w:val="000704DB"/>
    <w:rsid w:val="00074B73"/>
    <w:rsid w:val="000A4B2D"/>
    <w:rsid w:val="000C4428"/>
    <w:rsid w:val="000D13A3"/>
    <w:rsid w:val="000F2F6F"/>
    <w:rsid w:val="0010267E"/>
    <w:rsid w:val="00104020"/>
    <w:rsid w:val="001164F0"/>
    <w:rsid w:val="001200C7"/>
    <w:rsid w:val="001524BC"/>
    <w:rsid w:val="00192D3D"/>
    <w:rsid w:val="001A0AD1"/>
    <w:rsid w:val="001D0010"/>
    <w:rsid w:val="0027286B"/>
    <w:rsid w:val="002757FF"/>
    <w:rsid w:val="002B768A"/>
    <w:rsid w:val="002C4057"/>
    <w:rsid w:val="002E68CC"/>
    <w:rsid w:val="002F6751"/>
    <w:rsid w:val="003309C5"/>
    <w:rsid w:val="0033245B"/>
    <w:rsid w:val="00347980"/>
    <w:rsid w:val="003524B1"/>
    <w:rsid w:val="00353EB3"/>
    <w:rsid w:val="00377A1E"/>
    <w:rsid w:val="00394D9A"/>
    <w:rsid w:val="003E0246"/>
    <w:rsid w:val="003E5034"/>
    <w:rsid w:val="00407E63"/>
    <w:rsid w:val="00423E1D"/>
    <w:rsid w:val="00456C06"/>
    <w:rsid w:val="00475400"/>
    <w:rsid w:val="004A77F5"/>
    <w:rsid w:val="004E1D90"/>
    <w:rsid w:val="004E334E"/>
    <w:rsid w:val="00525AEE"/>
    <w:rsid w:val="00554B15"/>
    <w:rsid w:val="00572BB1"/>
    <w:rsid w:val="00576743"/>
    <w:rsid w:val="005D187D"/>
    <w:rsid w:val="005D7D06"/>
    <w:rsid w:val="005E0C48"/>
    <w:rsid w:val="005E3A8C"/>
    <w:rsid w:val="006705CC"/>
    <w:rsid w:val="00671416"/>
    <w:rsid w:val="006B1DD2"/>
    <w:rsid w:val="006B74D5"/>
    <w:rsid w:val="007071CA"/>
    <w:rsid w:val="00717D0D"/>
    <w:rsid w:val="00745C7F"/>
    <w:rsid w:val="0078201E"/>
    <w:rsid w:val="007A64B5"/>
    <w:rsid w:val="007D521E"/>
    <w:rsid w:val="007D7F43"/>
    <w:rsid w:val="007F1D96"/>
    <w:rsid w:val="00801C67"/>
    <w:rsid w:val="00811838"/>
    <w:rsid w:val="00854B90"/>
    <w:rsid w:val="00876FBB"/>
    <w:rsid w:val="00883EFD"/>
    <w:rsid w:val="00896628"/>
    <w:rsid w:val="008A275C"/>
    <w:rsid w:val="008D6ECA"/>
    <w:rsid w:val="008F2C64"/>
    <w:rsid w:val="00923397"/>
    <w:rsid w:val="0093795E"/>
    <w:rsid w:val="009605B6"/>
    <w:rsid w:val="00960C63"/>
    <w:rsid w:val="00977205"/>
    <w:rsid w:val="009911A5"/>
    <w:rsid w:val="009A7FAE"/>
    <w:rsid w:val="009C1DBC"/>
    <w:rsid w:val="009C41C0"/>
    <w:rsid w:val="00A62E56"/>
    <w:rsid w:val="00A85A0E"/>
    <w:rsid w:val="00AE598B"/>
    <w:rsid w:val="00B420E3"/>
    <w:rsid w:val="00B461FF"/>
    <w:rsid w:val="00BB0ABB"/>
    <w:rsid w:val="00BC48D1"/>
    <w:rsid w:val="00BE2356"/>
    <w:rsid w:val="00C04479"/>
    <w:rsid w:val="00C44766"/>
    <w:rsid w:val="00C46712"/>
    <w:rsid w:val="00C76FCA"/>
    <w:rsid w:val="00CA3992"/>
    <w:rsid w:val="00CA587F"/>
    <w:rsid w:val="00CC1DD2"/>
    <w:rsid w:val="00D17386"/>
    <w:rsid w:val="00D3068E"/>
    <w:rsid w:val="00D412E9"/>
    <w:rsid w:val="00D5203E"/>
    <w:rsid w:val="00D5546B"/>
    <w:rsid w:val="00D619E9"/>
    <w:rsid w:val="00D64980"/>
    <w:rsid w:val="00D65334"/>
    <w:rsid w:val="00D71C86"/>
    <w:rsid w:val="00DA338F"/>
    <w:rsid w:val="00DA39D6"/>
    <w:rsid w:val="00DC0D4C"/>
    <w:rsid w:val="00DC2B4D"/>
    <w:rsid w:val="00DF2E1D"/>
    <w:rsid w:val="00E32487"/>
    <w:rsid w:val="00E54E98"/>
    <w:rsid w:val="00E732DB"/>
    <w:rsid w:val="00ED25DD"/>
    <w:rsid w:val="00FA4398"/>
    <w:rsid w:val="00FB31B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6714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ody Text Indent"/>
    <w:basedOn w:val="a"/>
    <w:link w:val="a4"/>
    <w:rsid w:val="00ED25DD"/>
    <w:pPr>
      <w:tabs>
        <w:tab w:val="left" w:pos="-540"/>
        <w:tab w:val="left" w:pos="9360"/>
      </w:tabs>
      <w:ind w:left="-360"/>
    </w:pPr>
    <w:rPr>
      <w:rFonts w:eastAsia="SimSun"/>
    </w:rPr>
  </w:style>
  <w:style w:type="character" w:customStyle="1" w:styleId="a4">
    <w:name w:val="Основной текст с отступом Знак"/>
    <w:basedOn w:val="a0"/>
    <w:link w:val="a3"/>
    <w:rsid w:val="00ED25D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5">
    <w:name w:val="ксюша"/>
    <w:basedOn w:val="a"/>
    <w:qFormat/>
    <w:rsid w:val="003309C5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9911A5"/>
    <w:pPr>
      <w:tabs>
        <w:tab w:val="right" w:leader="dot" w:pos="9344"/>
      </w:tabs>
      <w:spacing w:before="30" w:after="30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1A5"/>
    <w:pPr>
      <w:tabs>
        <w:tab w:val="right" w:leader="dot" w:pos="9344"/>
      </w:tabs>
      <w:spacing w:before="120" w:after="120"/>
      <w:ind w:left="240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rsid w:val="009911A5"/>
    <w:pPr>
      <w:ind w:left="480"/>
    </w:pPr>
  </w:style>
  <w:style w:type="paragraph" w:customStyle="1" w:styleId="11">
    <w:name w:val="Знак1"/>
    <w:basedOn w:val="a"/>
    <w:autoRedefine/>
    <w:rsid w:val="001200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B0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3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83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83E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autoRedefine/>
    <w:rsid w:val="003E503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uiPriority w:val="59"/>
    <w:rsid w:val="007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xpor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mps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xpor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mps.by" TargetMode="External"/><Relationship Id="rId14" Type="http://schemas.openxmlformats.org/officeDocument/2006/relationships/hyperlink" Target="http://www.goszakup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VDrozdova</dc:creator>
  <cp:lastModifiedBy>diplomat1</cp:lastModifiedBy>
  <cp:revision>3</cp:revision>
  <cp:lastPrinted>2016-12-16T12:38:00Z</cp:lastPrinted>
  <dcterms:created xsi:type="dcterms:W3CDTF">2017-01-04T07:20:00Z</dcterms:created>
  <dcterms:modified xsi:type="dcterms:W3CDTF">2017-01-04T07:21:00Z</dcterms:modified>
</cp:coreProperties>
</file>